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19207" w14:textId="77777777" w:rsidR="0006414C" w:rsidRDefault="0006414C">
      <w:pPr>
        <w:jc w:val="center"/>
        <w:rPr>
          <w:b/>
          <w:u w:val="single"/>
        </w:rPr>
      </w:pPr>
    </w:p>
    <w:p w14:paraId="2A8C11BA" w14:textId="77777777" w:rsidR="0006414C" w:rsidRDefault="00812593">
      <w:pPr>
        <w:spacing w:after="0"/>
        <w:jc w:val="center"/>
        <w:rPr>
          <w:b/>
          <w:sz w:val="28"/>
          <w:szCs w:val="28"/>
        </w:rPr>
      </w:pPr>
      <w:r>
        <w:rPr>
          <w:b/>
          <w:sz w:val="28"/>
          <w:szCs w:val="28"/>
        </w:rPr>
        <w:t>ACTA SEGUNDA SESIÓN 2025</w:t>
      </w:r>
    </w:p>
    <w:p w14:paraId="5A90D7B9" w14:textId="77777777" w:rsidR="0006414C" w:rsidRDefault="00812593">
      <w:pPr>
        <w:spacing w:after="0"/>
        <w:jc w:val="center"/>
        <w:rPr>
          <w:b/>
          <w:sz w:val="28"/>
          <w:szCs w:val="28"/>
        </w:rPr>
      </w:pPr>
      <w:r>
        <w:rPr>
          <w:b/>
          <w:sz w:val="28"/>
          <w:szCs w:val="28"/>
        </w:rPr>
        <w:t xml:space="preserve">GOBERNANZA ESTRATEGIA MINERA PARA EL BIENESTAR DE LA REGIÓN DE ANTOFAGASTA </w:t>
      </w:r>
    </w:p>
    <w:p w14:paraId="01B0B52B" w14:textId="77777777" w:rsidR="0006414C" w:rsidRDefault="00812593">
      <w:pPr>
        <w:spacing w:after="0"/>
        <w:jc w:val="center"/>
        <w:rPr>
          <w:b/>
          <w:sz w:val="28"/>
          <w:szCs w:val="28"/>
          <w:u w:val="single"/>
        </w:rPr>
      </w:pPr>
      <w:r>
        <w:rPr>
          <w:b/>
          <w:sz w:val="28"/>
          <w:szCs w:val="28"/>
        </w:rPr>
        <w:t>EMRA 2023-2050.</w:t>
      </w:r>
    </w:p>
    <w:p w14:paraId="7322E7BE" w14:textId="77777777" w:rsidR="0006414C" w:rsidRDefault="0006414C">
      <w:pPr>
        <w:jc w:val="center"/>
        <w:rPr>
          <w:b/>
          <w:u w:val="single"/>
        </w:rPr>
      </w:pPr>
    </w:p>
    <w:p w14:paraId="0B113FAC" w14:textId="53A1065D" w:rsidR="002D03E9" w:rsidRDefault="00812593">
      <w:pPr>
        <w:jc w:val="both"/>
      </w:pPr>
      <w:r>
        <w:t>En Antofagasta, con fecha 04 de abril del 2025, siendo las 09:00 horas se inicia la segunda sesión del Comité Directivo de la Gobernanza Estrategia Minera para el Bienestar de la Región de Antofagasta, EMRA 2023-2050. Preside la sesión el Sr. Gobernador Regional Don Ricardo Díaz Cortés y la secretaria ejecutiva</w:t>
      </w:r>
      <w:r w:rsidR="00B52437">
        <w:t xml:space="preserve"> Gabriela Gómez Peralta.</w:t>
      </w:r>
    </w:p>
    <w:p w14:paraId="1E5F7650" w14:textId="77777777" w:rsidR="002D03E9" w:rsidRDefault="002D03E9">
      <w:pPr>
        <w:jc w:val="both"/>
      </w:pPr>
    </w:p>
    <w:p w14:paraId="72C08C06" w14:textId="77777777" w:rsidR="002D03E9" w:rsidRPr="002D03E9" w:rsidRDefault="002D03E9" w:rsidP="00B52437">
      <w:pPr>
        <w:shd w:val="clear" w:color="auto" w:fill="D9E2F3"/>
        <w:jc w:val="both"/>
        <w:rPr>
          <w:rFonts w:eastAsia="Times New Roman"/>
          <w:b/>
        </w:rPr>
      </w:pPr>
      <w:r w:rsidRPr="002D03E9">
        <w:rPr>
          <w:rFonts w:eastAsia="Times New Roman"/>
          <w:b/>
        </w:rPr>
        <w:t>ASISTENCIA DE INTEGRANTES CON DERECHO A VOTO</w:t>
      </w:r>
    </w:p>
    <w:tbl>
      <w:tblPr>
        <w:tblW w:w="99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7"/>
        <w:gridCol w:w="1843"/>
        <w:gridCol w:w="2126"/>
        <w:gridCol w:w="3544"/>
        <w:gridCol w:w="1159"/>
      </w:tblGrid>
      <w:tr w:rsidR="002D03E9" w:rsidRPr="002D03E9" w14:paraId="68A85077" w14:textId="77777777" w:rsidTr="00C201EE">
        <w:trPr>
          <w:trHeight w:val="377"/>
        </w:trPr>
        <w:tc>
          <w:tcPr>
            <w:tcW w:w="3080" w:type="dxa"/>
            <w:gridSpan w:val="2"/>
            <w:shd w:val="clear" w:color="auto" w:fill="D9E2F3"/>
          </w:tcPr>
          <w:p w14:paraId="73A8509F" w14:textId="77777777" w:rsidR="002D03E9" w:rsidRPr="002D03E9" w:rsidRDefault="002D03E9" w:rsidP="002D03E9">
            <w:pPr>
              <w:jc w:val="both"/>
              <w:rPr>
                <w:rFonts w:eastAsia="Times New Roman"/>
                <w:b/>
              </w:rPr>
            </w:pPr>
            <w:bookmarkStart w:id="0" w:name="_Hlk197962397"/>
            <w:r w:rsidRPr="002D03E9">
              <w:rPr>
                <w:rFonts w:ascii="Arial" w:eastAsia="Times New Roman" w:hAnsi="Arial" w:cs="Arial"/>
                <w:b/>
                <w:sz w:val="24"/>
                <w:szCs w:val="24"/>
                <w:lang w:val="es-ES"/>
              </w:rPr>
              <w:t>DIRECTORIO</w:t>
            </w:r>
          </w:p>
        </w:tc>
        <w:tc>
          <w:tcPr>
            <w:tcW w:w="2126" w:type="dxa"/>
            <w:shd w:val="clear" w:color="auto" w:fill="D9E2F3"/>
          </w:tcPr>
          <w:p w14:paraId="1B29D7D4" w14:textId="77777777" w:rsidR="002D03E9" w:rsidRPr="002D03E9" w:rsidRDefault="002D03E9" w:rsidP="002D03E9">
            <w:pPr>
              <w:jc w:val="center"/>
              <w:rPr>
                <w:rFonts w:eastAsia="Times New Roman"/>
                <w:b/>
              </w:rPr>
            </w:pPr>
            <w:r w:rsidRPr="002D03E9">
              <w:rPr>
                <w:rFonts w:eastAsia="Times New Roman"/>
                <w:b/>
              </w:rPr>
              <w:t>Nombre Asistente</w:t>
            </w:r>
          </w:p>
        </w:tc>
        <w:tc>
          <w:tcPr>
            <w:tcW w:w="3544" w:type="dxa"/>
            <w:shd w:val="clear" w:color="auto" w:fill="D9E2F3"/>
          </w:tcPr>
          <w:p w14:paraId="2F49A16E" w14:textId="77777777" w:rsidR="002D03E9" w:rsidRPr="002D03E9" w:rsidRDefault="002D03E9" w:rsidP="002D03E9">
            <w:pPr>
              <w:jc w:val="center"/>
              <w:rPr>
                <w:rFonts w:eastAsia="Times New Roman"/>
                <w:b/>
              </w:rPr>
            </w:pPr>
          </w:p>
        </w:tc>
        <w:tc>
          <w:tcPr>
            <w:tcW w:w="1159" w:type="dxa"/>
            <w:shd w:val="clear" w:color="auto" w:fill="D9E2F3"/>
          </w:tcPr>
          <w:p w14:paraId="36C2C264" w14:textId="77777777" w:rsidR="002D03E9" w:rsidRPr="002D03E9" w:rsidRDefault="002D03E9" w:rsidP="002D03E9">
            <w:pPr>
              <w:jc w:val="center"/>
              <w:rPr>
                <w:rFonts w:eastAsia="Times New Roman"/>
                <w:b/>
              </w:rPr>
            </w:pPr>
            <w:r w:rsidRPr="002D03E9">
              <w:rPr>
                <w:rFonts w:eastAsia="Times New Roman"/>
                <w:b/>
              </w:rPr>
              <w:t>Asistencia</w:t>
            </w:r>
          </w:p>
        </w:tc>
      </w:tr>
      <w:bookmarkEnd w:id="0"/>
      <w:tr w:rsidR="002D03E9" w:rsidRPr="00B52437" w14:paraId="7C0FCD0F" w14:textId="77777777" w:rsidTr="00C201EE">
        <w:trPr>
          <w:trHeight w:val="455"/>
        </w:trPr>
        <w:tc>
          <w:tcPr>
            <w:tcW w:w="1237" w:type="dxa"/>
          </w:tcPr>
          <w:p w14:paraId="1C23D2C7" w14:textId="714415CC" w:rsidR="002D03E9" w:rsidRPr="00FC29A2" w:rsidRDefault="002D03E9" w:rsidP="002D03E9">
            <w:pPr>
              <w:rPr>
                <w:rFonts w:eastAsia="Times New Roman"/>
                <w:b/>
              </w:rPr>
            </w:pPr>
            <w:r w:rsidRPr="00FC29A2">
              <w:rPr>
                <w:rFonts w:eastAsia="Times New Roman"/>
                <w:b/>
              </w:rPr>
              <w:t xml:space="preserve">Presidente </w:t>
            </w:r>
          </w:p>
        </w:tc>
        <w:tc>
          <w:tcPr>
            <w:tcW w:w="1843" w:type="dxa"/>
          </w:tcPr>
          <w:p w14:paraId="2559E533" w14:textId="77777777" w:rsidR="002D03E9" w:rsidRPr="00FC29A2" w:rsidRDefault="002D03E9" w:rsidP="002D03E9">
            <w:pPr>
              <w:rPr>
                <w:rFonts w:eastAsia="Times New Roman"/>
                <w:b/>
              </w:rPr>
            </w:pPr>
            <w:r w:rsidRPr="00FC29A2">
              <w:rPr>
                <w:rFonts w:eastAsia="Times New Roman"/>
                <w:b/>
              </w:rPr>
              <w:t>EMRA 2023-2050</w:t>
            </w:r>
          </w:p>
        </w:tc>
        <w:tc>
          <w:tcPr>
            <w:tcW w:w="2126" w:type="dxa"/>
          </w:tcPr>
          <w:p w14:paraId="04BAA541" w14:textId="77777777" w:rsidR="002D03E9" w:rsidRPr="00FC29A2" w:rsidRDefault="002D03E9" w:rsidP="002D03E9">
            <w:pPr>
              <w:jc w:val="both"/>
              <w:rPr>
                <w:rFonts w:eastAsia="Times New Roman"/>
                <w:b/>
              </w:rPr>
            </w:pPr>
            <w:r w:rsidRPr="00FC29A2">
              <w:rPr>
                <w:rFonts w:eastAsia="Times New Roman"/>
                <w:b/>
              </w:rPr>
              <w:t xml:space="preserve">Ricardo Díaz. </w:t>
            </w:r>
          </w:p>
        </w:tc>
        <w:tc>
          <w:tcPr>
            <w:tcW w:w="3544" w:type="dxa"/>
          </w:tcPr>
          <w:p w14:paraId="07626C48" w14:textId="77777777" w:rsidR="002D03E9" w:rsidRPr="00FC29A2" w:rsidRDefault="002D03E9" w:rsidP="002D03E9">
            <w:pPr>
              <w:jc w:val="both"/>
              <w:rPr>
                <w:rFonts w:eastAsia="Times New Roman"/>
                <w:b/>
              </w:rPr>
            </w:pPr>
            <w:r w:rsidRPr="00FC29A2">
              <w:rPr>
                <w:rFonts w:eastAsia="Times New Roman"/>
                <w:b/>
              </w:rPr>
              <w:t>Gobernador Regional de Antofagasta.</w:t>
            </w:r>
          </w:p>
        </w:tc>
        <w:tc>
          <w:tcPr>
            <w:tcW w:w="1159" w:type="dxa"/>
          </w:tcPr>
          <w:p w14:paraId="65E0CC70" w14:textId="77777777" w:rsidR="002D03E9" w:rsidRPr="00FC29A2" w:rsidRDefault="002D03E9" w:rsidP="002D03E9">
            <w:pPr>
              <w:jc w:val="both"/>
              <w:rPr>
                <w:rFonts w:eastAsia="Times New Roman"/>
                <w:b/>
              </w:rPr>
            </w:pPr>
            <w:r w:rsidRPr="00FC29A2">
              <w:rPr>
                <w:rFonts w:eastAsia="Times New Roman"/>
                <w:b/>
              </w:rPr>
              <w:t>Si</w:t>
            </w:r>
          </w:p>
        </w:tc>
      </w:tr>
      <w:tr w:rsidR="002D03E9" w:rsidRPr="00B52437" w14:paraId="011A6181" w14:textId="77777777" w:rsidTr="00C201EE">
        <w:trPr>
          <w:trHeight w:val="238"/>
        </w:trPr>
        <w:tc>
          <w:tcPr>
            <w:tcW w:w="5206" w:type="dxa"/>
            <w:gridSpan w:val="3"/>
          </w:tcPr>
          <w:p w14:paraId="053AB9A1" w14:textId="77777777" w:rsidR="002D03E9" w:rsidRPr="00FC29A2" w:rsidRDefault="002D03E9" w:rsidP="002D03E9">
            <w:pPr>
              <w:jc w:val="both"/>
              <w:rPr>
                <w:rFonts w:eastAsia="Times New Roman"/>
                <w:b/>
              </w:rPr>
            </w:pPr>
            <w:r w:rsidRPr="00FC29A2">
              <w:rPr>
                <w:rFonts w:ascii="Arial" w:eastAsia="Times New Roman" w:hAnsi="Arial" w:cs="Arial"/>
                <w:b/>
                <w:sz w:val="24"/>
                <w:szCs w:val="24"/>
                <w:lang w:val="es-ES"/>
              </w:rPr>
              <w:t>SECTOR PUBLICO</w:t>
            </w:r>
          </w:p>
        </w:tc>
        <w:tc>
          <w:tcPr>
            <w:tcW w:w="3544" w:type="dxa"/>
          </w:tcPr>
          <w:p w14:paraId="38F00EA9" w14:textId="77777777" w:rsidR="002D03E9" w:rsidRPr="00FC29A2" w:rsidRDefault="002D03E9" w:rsidP="002D03E9">
            <w:pPr>
              <w:jc w:val="both"/>
              <w:rPr>
                <w:rFonts w:ascii="Arial" w:eastAsia="Times New Roman" w:hAnsi="Arial" w:cs="Arial"/>
                <w:b/>
                <w:sz w:val="24"/>
                <w:szCs w:val="24"/>
                <w:lang w:val="es-ES"/>
              </w:rPr>
            </w:pPr>
          </w:p>
        </w:tc>
        <w:tc>
          <w:tcPr>
            <w:tcW w:w="1159" w:type="dxa"/>
          </w:tcPr>
          <w:p w14:paraId="6C6F3392" w14:textId="77777777" w:rsidR="002D03E9" w:rsidRPr="00B52437" w:rsidRDefault="002D03E9" w:rsidP="002D03E9">
            <w:pPr>
              <w:jc w:val="both"/>
              <w:rPr>
                <w:rFonts w:ascii="Arial" w:eastAsia="Times New Roman" w:hAnsi="Arial" w:cs="Arial"/>
                <w:b/>
                <w:sz w:val="24"/>
                <w:szCs w:val="24"/>
                <w:highlight w:val="yellow"/>
                <w:lang w:val="es-ES"/>
              </w:rPr>
            </w:pPr>
          </w:p>
        </w:tc>
      </w:tr>
      <w:tr w:rsidR="002D03E9" w:rsidRPr="00B52437" w14:paraId="38996065" w14:textId="77777777" w:rsidTr="00C201EE">
        <w:trPr>
          <w:trHeight w:val="238"/>
        </w:trPr>
        <w:tc>
          <w:tcPr>
            <w:tcW w:w="1237" w:type="dxa"/>
          </w:tcPr>
          <w:p w14:paraId="6C1B2FE8" w14:textId="77777777" w:rsidR="002D03E9" w:rsidRPr="00FC29A2" w:rsidRDefault="002D03E9" w:rsidP="002D03E9">
            <w:pPr>
              <w:rPr>
                <w:rFonts w:eastAsia="Times New Roman"/>
                <w:b/>
              </w:rPr>
            </w:pPr>
            <w:r w:rsidRPr="00FC29A2">
              <w:rPr>
                <w:rFonts w:eastAsia="Times New Roman"/>
                <w:b/>
              </w:rPr>
              <w:t xml:space="preserve">Cupo </w:t>
            </w:r>
            <w:proofErr w:type="spellStart"/>
            <w:r w:rsidRPr="00FC29A2">
              <w:rPr>
                <w:rFonts w:eastAsia="Times New Roman"/>
                <w:b/>
              </w:rPr>
              <w:t>N°</w:t>
            </w:r>
            <w:proofErr w:type="spellEnd"/>
            <w:r w:rsidRPr="00FC29A2">
              <w:rPr>
                <w:rFonts w:eastAsia="Times New Roman"/>
                <w:b/>
              </w:rPr>
              <w:t xml:space="preserve"> 1</w:t>
            </w:r>
          </w:p>
        </w:tc>
        <w:tc>
          <w:tcPr>
            <w:tcW w:w="1843" w:type="dxa"/>
          </w:tcPr>
          <w:p w14:paraId="6A09D143" w14:textId="77777777" w:rsidR="002D03E9" w:rsidRPr="00FC29A2" w:rsidRDefault="002D03E9" w:rsidP="002D03E9">
            <w:pPr>
              <w:rPr>
                <w:rFonts w:eastAsia="Times New Roman"/>
                <w:b/>
              </w:rPr>
            </w:pPr>
            <w:r w:rsidRPr="00FC29A2">
              <w:rPr>
                <w:rFonts w:eastAsia="Times New Roman"/>
                <w:b/>
              </w:rPr>
              <w:t xml:space="preserve">CORE </w:t>
            </w:r>
          </w:p>
        </w:tc>
        <w:tc>
          <w:tcPr>
            <w:tcW w:w="2126" w:type="dxa"/>
          </w:tcPr>
          <w:p w14:paraId="15ADF7FF" w14:textId="77777777" w:rsidR="002D03E9" w:rsidRPr="00FC29A2" w:rsidRDefault="002D03E9" w:rsidP="002D03E9">
            <w:pPr>
              <w:jc w:val="both"/>
              <w:rPr>
                <w:rFonts w:eastAsia="Times New Roman"/>
                <w:b/>
              </w:rPr>
            </w:pPr>
            <w:r w:rsidRPr="00FC29A2">
              <w:rPr>
                <w:rFonts w:eastAsia="Times New Roman"/>
                <w:b/>
              </w:rPr>
              <w:t>Patricio Tapia.</w:t>
            </w:r>
            <w:r w:rsidRPr="00FC29A2">
              <w:rPr>
                <w:rFonts w:ascii="Arial" w:eastAsia="Times New Roman" w:hAnsi="Arial" w:cs="Arial"/>
                <w:b/>
                <w:lang w:val="es-ES"/>
              </w:rPr>
              <w:t xml:space="preserve"> </w:t>
            </w:r>
          </w:p>
        </w:tc>
        <w:tc>
          <w:tcPr>
            <w:tcW w:w="3544" w:type="dxa"/>
          </w:tcPr>
          <w:p w14:paraId="4E0FA064" w14:textId="77777777" w:rsidR="002D03E9" w:rsidRPr="00FC29A2" w:rsidRDefault="002D03E9" w:rsidP="002D03E9">
            <w:pPr>
              <w:jc w:val="both"/>
              <w:rPr>
                <w:rFonts w:eastAsia="Times New Roman"/>
                <w:b/>
              </w:rPr>
            </w:pPr>
            <w:r w:rsidRPr="00FC29A2">
              <w:rPr>
                <w:rFonts w:eastAsia="Times New Roman"/>
                <w:b/>
              </w:rPr>
              <w:t>Presidente Comisión de Gestión y Régimen interno</w:t>
            </w:r>
          </w:p>
        </w:tc>
        <w:tc>
          <w:tcPr>
            <w:tcW w:w="1159" w:type="dxa"/>
          </w:tcPr>
          <w:p w14:paraId="4889035B" w14:textId="77777777" w:rsidR="002D03E9" w:rsidRPr="00FC29A2" w:rsidRDefault="002D03E9" w:rsidP="002D03E9">
            <w:pPr>
              <w:jc w:val="both"/>
              <w:rPr>
                <w:rFonts w:eastAsia="Times New Roman"/>
                <w:b/>
              </w:rPr>
            </w:pPr>
            <w:r w:rsidRPr="00FC29A2">
              <w:rPr>
                <w:rFonts w:eastAsia="Times New Roman"/>
                <w:b/>
              </w:rPr>
              <w:t>Si</w:t>
            </w:r>
          </w:p>
          <w:p w14:paraId="4B528A88" w14:textId="77777777" w:rsidR="002D03E9" w:rsidRPr="00FC29A2" w:rsidRDefault="002D03E9" w:rsidP="002D03E9">
            <w:pPr>
              <w:jc w:val="both"/>
              <w:rPr>
                <w:rFonts w:eastAsia="Times New Roman"/>
                <w:b/>
              </w:rPr>
            </w:pPr>
          </w:p>
        </w:tc>
      </w:tr>
      <w:tr w:rsidR="002D03E9" w:rsidRPr="00B52437" w14:paraId="28FF2A17" w14:textId="77777777" w:rsidTr="00C201EE">
        <w:trPr>
          <w:trHeight w:val="853"/>
        </w:trPr>
        <w:tc>
          <w:tcPr>
            <w:tcW w:w="1237" w:type="dxa"/>
          </w:tcPr>
          <w:p w14:paraId="6F13C620" w14:textId="77777777" w:rsidR="002D03E9" w:rsidRPr="00FC29A2" w:rsidRDefault="002D03E9" w:rsidP="002D03E9">
            <w:pPr>
              <w:rPr>
                <w:rFonts w:eastAsia="Times New Roman"/>
                <w:b/>
              </w:rPr>
            </w:pPr>
            <w:r w:rsidRPr="00FC29A2">
              <w:rPr>
                <w:rFonts w:eastAsia="Times New Roman"/>
                <w:b/>
              </w:rPr>
              <w:t xml:space="preserve">Cupo </w:t>
            </w:r>
            <w:proofErr w:type="spellStart"/>
            <w:r w:rsidRPr="00FC29A2">
              <w:rPr>
                <w:rFonts w:eastAsia="Times New Roman"/>
                <w:b/>
              </w:rPr>
              <w:t>N°</w:t>
            </w:r>
            <w:proofErr w:type="spellEnd"/>
            <w:r w:rsidRPr="00FC29A2">
              <w:rPr>
                <w:rFonts w:eastAsia="Times New Roman"/>
                <w:b/>
              </w:rPr>
              <w:t xml:space="preserve"> 2</w:t>
            </w:r>
          </w:p>
        </w:tc>
        <w:tc>
          <w:tcPr>
            <w:tcW w:w="1843" w:type="dxa"/>
          </w:tcPr>
          <w:p w14:paraId="64A4A5BF" w14:textId="77777777" w:rsidR="002D03E9" w:rsidRPr="00FC29A2" w:rsidRDefault="002D03E9" w:rsidP="002D03E9">
            <w:pPr>
              <w:rPr>
                <w:rFonts w:eastAsia="Times New Roman"/>
                <w:b/>
              </w:rPr>
            </w:pPr>
            <w:r w:rsidRPr="00FC29A2">
              <w:rPr>
                <w:rFonts w:eastAsia="Times New Roman"/>
                <w:b/>
              </w:rPr>
              <w:t>Asociación de Municipalidades de la Región de Antofagasta AMRA</w:t>
            </w:r>
          </w:p>
        </w:tc>
        <w:tc>
          <w:tcPr>
            <w:tcW w:w="2126" w:type="dxa"/>
          </w:tcPr>
          <w:p w14:paraId="1B776E6D" w14:textId="77777777" w:rsidR="002D03E9" w:rsidRPr="00FC29A2" w:rsidRDefault="002D03E9" w:rsidP="002D03E9">
            <w:pPr>
              <w:jc w:val="both"/>
              <w:rPr>
                <w:rFonts w:eastAsia="Times New Roman"/>
                <w:b/>
                <w:lang w:val="es-ES"/>
              </w:rPr>
            </w:pPr>
            <w:r w:rsidRPr="00FC29A2">
              <w:rPr>
                <w:rFonts w:eastAsia="Times New Roman"/>
                <w:b/>
              </w:rPr>
              <w:t xml:space="preserve">Justo Zuleta.  </w:t>
            </w:r>
          </w:p>
        </w:tc>
        <w:tc>
          <w:tcPr>
            <w:tcW w:w="3544" w:type="dxa"/>
          </w:tcPr>
          <w:p w14:paraId="4FD3FD80" w14:textId="77777777" w:rsidR="002D03E9" w:rsidRPr="00FC29A2" w:rsidRDefault="002D03E9" w:rsidP="002D03E9">
            <w:pPr>
              <w:jc w:val="both"/>
              <w:rPr>
                <w:rFonts w:eastAsia="Times New Roman"/>
                <w:b/>
              </w:rPr>
            </w:pPr>
            <w:r w:rsidRPr="00FC29A2">
              <w:rPr>
                <w:rFonts w:eastAsia="Times New Roman"/>
                <w:b/>
              </w:rPr>
              <w:t>Vicepresidente AMRA</w:t>
            </w:r>
          </w:p>
        </w:tc>
        <w:tc>
          <w:tcPr>
            <w:tcW w:w="1159" w:type="dxa"/>
          </w:tcPr>
          <w:p w14:paraId="12B0F04B" w14:textId="7F5D67F7" w:rsidR="002D03E9" w:rsidRPr="00FC29A2" w:rsidRDefault="003522C1" w:rsidP="002D03E9">
            <w:pPr>
              <w:jc w:val="both"/>
              <w:rPr>
                <w:rFonts w:eastAsia="Times New Roman"/>
                <w:b/>
              </w:rPr>
            </w:pPr>
            <w:r w:rsidRPr="00FC29A2">
              <w:rPr>
                <w:rFonts w:eastAsia="Times New Roman"/>
                <w:b/>
              </w:rPr>
              <w:t>No</w:t>
            </w:r>
          </w:p>
        </w:tc>
      </w:tr>
      <w:tr w:rsidR="002D03E9" w:rsidRPr="00B52437" w14:paraId="7C925D9E" w14:textId="77777777" w:rsidTr="00C201EE">
        <w:trPr>
          <w:trHeight w:val="436"/>
        </w:trPr>
        <w:tc>
          <w:tcPr>
            <w:tcW w:w="1237" w:type="dxa"/>
          </w:tcPr>
          <w:p w14:paraId="5FFE7AB6" w14:textId="77777777" w:rsidR="002D03E9" w:rsidRPr="00FC29A2" w:rsidRDefault="002D03E9" w:rsidP="002D03E9">
            <w:pPr>
              <w:rPr>
                <w:rFonts w:eastAsia="Times New Roman"/>
                <w:b/>
              </w:rPr>
            </w:pPr>
            <w:r w:rsidRPr="00FC29A2">
              <w:rPr>
                <w:rFonts w:eastAsia="Times New Roman"/>
                <w:b/>
              </w:rPr>
              <w:t>Cupo N°3</w:t>
            </w:r>
          </w:p>
        </w:tc>
        <w:tc>
          <w:tcPr>
            <w:tcW w:w="1843" w:type="dxa"/>
          </w:tcPr>
          <w:p w14:paraId="40B68776" w14:textId="77777777" w:rsidR="002D03E9" w:rsidRPr="00FC29A2" w:rsidRDefault="002D03E9" w:rsidP="002D03E9">
            <w:pPr>
              <w:rPr>
                <w:rFonts w:eastAsia="Times New Roman"/>
                <w:b/>
              </w:rPr>
            </w:pPr>
            <w:r w:rsidRPr="00FC29A2">
              <w:rPr>
                <w:rFonts w:eastAsia="Times New Roman"/>
                <w:b/>
              </w:rPr>
              <w:t>REPRESENTANTE NACIONAL Interior/Minería</w:t>
            </w:r>
          </w:p>
        </w:tc>
        <w:tc>
          <w:tcPr>
            <w:tcW w:w="2126" w:type="dxa"/>
          </w:tcPr>
          <w:p w14:paraId="3577908F" w14:textId="1A9B90DF" w:rsidR="002D03E9" w:rsidRPr="00FC29A2" w:rsidRDefault="003522C1" w:rsidP="002D03E9">
            <w:pPr>
              <w:jc w:val="both"/>
              <w:rPr>
                <w:rFonts w:eastAsia="Times New Roman"/>
                <w:b/>
              </w:rPr>
            </w:pPr>
            <w:r w:rsidRPr="00FC29A2">
              <w:rPr>
                <w:rFonts w:eastAsia="Times New Roman"/>
                <w:b/>
              </w:rPr>
              <w:t>Carlos Silva</w:t>
            </w:r>
          </w:p>
        </w:tc>
        <w:tc>
          <w:tcPr>
            <w:tcW w:w="3544" w:type="dxa"/>
          </w:tcPr>
          <w:p w14:paraId="46F19DDB" w14:textId="61C97210" w:rsidR="002D03E9" w:rsidRPr="00FC29A2" w:rsidRDefault="003522C1" w:rsidP="002D03E9">
            <w:pPr>
              <w:jc w:val="both"/>
              <w:rPr>
                <w:rFonts w:eastAsia="Times New Roman"/>
                <w:b/>
              </w:rPr>
            </w:pPr>
            <w:r w:rsidRPr="00FC29A2">
              <w:rPr>
                <w:rFonts w:eastAsia="Times New Roman"/>
                <w:b/>
              </w:rPr>
              <w:t>Representante ministra Minería</w:t>
            </w:r>
          </w:p>
        </w:tc>
        <w:tc>
          <w:tcPr>
            <w:tcW w:w="1159" w:type="dxa"/>
          </w:tcPr>
          <w:p w14:paraId="3E41C794" w14:textId="5310F533" w:rsidR="002D03E9" w:rsidRPr="00FC29A2" w:rsidRDefault="003522C1" w:rsidP="002D03E9">
            <w:pPr>
              <w:jc w:val="both"/>
              <w:rPr>
                <w:rFonts w:eastAsia="Times New Roman"/>
                <w:b/>
              </w:rPr>
            </w:pPr>
            <w:r w:rsidRPr="00FC29A2">
              <w:rPr>
                <w:rFonts w:eastAsia="Times New Roman"/>
                <w:b/>
              </w:rPr>
              <w:t>Si</w:t>
            </w:r>
          </w:p>
        </w:tc>
      </w:tr>
      <w:tr w:rsidR="002D03E9" w:rsidRPr="00B52437" w14:paraId="18883160" w14:textId="77777777" w:rsidTr="00C201EE">
        <w:trPr>
          <w:trHeight w:val="238"/>
        </w:trPr>
        <w:tc>
          <w:tcPr>
            <w:tcW w:w="5206" w:type="dxa"/>
            <w:gridSpan w:val="3"/>
          </w:tcPr>
          <w:p w14:paraId="161E62F9" w14:textId="77777777" w:rsidR="002D03E9" w:rsidRPr="00FC29A2" w:rsidRDefault="002D03E9" w:rsidP="002D03E9">
            <w:pPr>
              <w:jc w:val="both"/>
              <w:rPr>
                <w:rFonts w:eastAsia="Times New Roman"/>
                <w:b/>
              </w:rPr>
            </w:pPr>
            <w:r w:rsidRPr="00FC29A2">
              <w:rPr>
                <w:rFonts w:ascii="Arial" w:eastAsia="Times New Roman" w:hAnsi="Arial" w:cs="Arial"/>
                <w:b/>
                <w:sz w:val="24"/>
                <w:szCs w:val="24"/>
                <w:lang w:val="es-ES"/>
              </w:rPr>
              <w:t>SECTOR PRIVADO EMPRESA MINERA</w:t>
            </w:r>
          </w:p>
        </w:tc>
        <w:tc>
          <w:tcPr>
            <w:tcW w:w="3544" w:type="dxa"/>
          </w:tcPr>
          <w:p w14:paraId="26C7A594" w14:textId="77777777" w:rsidR="002D03E9" w:rsidRPr="00FC29A2" w:rsidRDefault="002D03E9" w:rsidP="002D03E9">
            <w:pPr>
              <w:jc w:val="both"/>
              <w:rPr>
                <w:rFonts w:ascii="Arial" w:eastAsia="Times New Roman" w:hAnsi="Arial" w:cs="Arial"/>
                <w:b/>
                <w:sz w:val="24"/>
                <w:szCs w:val="24"/>
                <w:lang w:val="es-ES"/>
              </w:rPr>
            </w:pPr>
          </w:p>
        </w:tc>
        <w:tc>
          <w:tcPr>
            <w:tcW w:w="1159" w:type="dxa"/>
          </w:tcPr>
          <w:p w14:paraId="5427DE4E" w14:textId="77777777" w:rsidR="002D03E9" w:rsidRPr="00B52437" w:rsidRDefault="002D03E9" w:rsidP="002D03E9">
            <w:pPr>
              <w:jc w:val="both"/>
              <w:rPr>
                <w:rFonts w:ascii="Arial" w:eastAsia="Times New Roman" w:hAnsi="Arial" w:cs="Arial"/>
                <w:b/>
                <w:sz w:val="24"/>
                <w:szCs w:val="24"/>
                <w:highlight w:val="yellow"/>
                <w:lang w:val="es-ES"/>
              </w:rPr>
            </w:pPr>
          </w:p>
        </w:tc>
      </w:tr>
      <w:tr w:rsidR="002D03E9" w:rsidRPr="00B52437" w14:paraId="4CF14F1C" w14:textId="77777777" w:rsidTr="00C201EE">
        <w:trPr>
          <w:trHeight w:val="217"/>
        </w:trPr>
        <w:tc>
          <w:tcPr>
            <w:tcW w:w="1237" w:type="dxa"/>
          </w:tcPr>
          <w:p w14:paraId="3BDAFDF3" w14:textId="77777777" w:rsidR="002D03E9" w:rsidRPr="00FC29A2" w:rsidRDefault="002D03E9" w:rsidP="002D03E9">
            <w:pPr>
              <w:rPr>
                <w:rFonts w:eastAsia="Times New Roman"/>
                <w:b/>
              </w:rPr>
            </w:pPr>
            <w:r w:rsidRPr="00FC29A2">
              <w:rPr>
                <w:rFonts w:eastAsia="Times New Roman"/>
                <w:b/>
              </w:rPr>
              <w:t>Cupo N°4</w:t>
            </w:r>
          </w:p>
        </w:tc>
        <w:tc>
          <w:tcPr>
            <w:tcW w:w="1843" w:type="dxa"/>
          </w:tcPr>
          <w:p w14:paraId="5B4D3775" w14:textId="77777777" w:rsidR="002D03E9" w:rsidRPr="00FC29A2" w:rsidRDefault="002D03E9" w:rsidP="002D03E9">
            <w:pPr>
              <w:rPr>
                <w:rFonts w:eastAsia="Times New Roman"/>
                <w:b/>
              </w:rPr>
            </w:pPr>
            <w:r w:rsidRPr="00FC29A2">
              <w:rPr>
                <w:rFonts w:eastAsia="Times New Roman"/>
                <w:b/>
              </w:rPr>
              <w:t>Empresa Gran Minería metálica</w:t>
            </w:r>
          </w:p>
        </w:tc>
        <w:tc>
          <w:tcPr>
            <w:tcW w:w="2126" w:type="dxa"/>
          </w:tcPr>
          <w:p w14:paraId="3C5557B9" w14:textId="04B9E953" w:rsidR="002D03E9" w:rsidRPr="00FC29A2" w:rsidRDefault="0083360A" w:rsidP="002D03E9">
            <w:pPr>
              <w:jc w:val="both"/>
              <w:rPr>
                <w:rFonts w:eastAsia="Times New Roman"/>
                <w:b/>
              </w:rPr>
            </w:pPr>
            <w:r w:rsidRPr="00FC29A2">
              <w:rPr>
                <w:rFonts w:eastAsia="Times New Roman"/>
                <w:b/>
              </w:rPr>
              <w:t>Pablo Pisani</w:t>
            </w:r>
          </w:p>
        </w:tc>
        <w:tc>
          <w:tcPr>
            <w:tcW w:w="3544" w:type="dxa"/>
          </w:tcPr>
          <w:p w14:paraId="31133457" w14:textId="5C8CA5FD" w:rsidR="002D03E9" w:rsidRPr="00FC29A2" w:rsidRDefault="002D03E9" w:rsidP="002D03E9">
            <w:pPr>
              <w:jc w:val="both"/>
              <w:rPr>
                <w:rFonts w:eastAsia="Times New Roman"/>
                <w:b/>
              </w:rPr>
            </w:pPr>
            <w:r w:rsidRPr="00FC29A2">
              <w:rPr>
                <w:rFonts w:eastAsia="Times New Roman"/>
                <w:b/>
              </w:rPr>
              <w:t xml:space="preserve">Director Asuntos Corporativos BHP </w:t>
            </w:r>
          </w:p>
        </w:tc>
        <w:tc>
          <w:tcPr>
            <w:tcW w:w="1159" w:type="dxa"/>
          </w:tcPr>
          <w:p w14:paraId="48CBC92B" w14:textId="77777777" w:rsidR="002D03E9" w:rsidRPr="00FC29A2" w:rsidRDefault="002D03E9" w:rsidP="002D03E9">
            <w:pPr>
              <w:jc w:val="both"/>
              <w:rPr>
                <w:rFonts w:eastAsia="Times New Roman"/>
                <w:b/>
              </w:rPr>
            </w:pPr>
            <w:r w:rsidRPr="00FC29A2">
              <w:rPr>
                <w:rFonts w:eastAsia="Times New Roman"/>
                <w:b/>
              </w:rPr>
              <w:t>Si</w:t>
            </w:r>
          </w:p>
        </w:tc>
      </w:tr>
      <w:tr w:rsidR="002D03E9" w:rsidRPr="00B52437" w14:paraId="79042F1A" w14:textId="77777777" w:rsidTr="00C201EE">
        <w:trPr>
          <w:trHeight w:val="455"/>
        </w:trPr>
        <w:tc>
          <w:tcPr>
            <w:tcW w:w="1237" w:type="dxa"/>
          </w:tcPr>
          <w:p w14:paraId="6074D2DE" w14:textId="77777777" w:rsidR="002D03E9" w:rsidRPr="00FC29A2" w:rsidRDefault="002D03E9" w:rsidP="002D03E9">
            <w:pPr>
              <w:rPr>
                <w:rFonts w:eastAsia="Times New Roman"/>
                <w:b/>
              </w:rPr>
            </w:pPr>
            <w:r w:rsidRPr="00FC29A2">
              <w:rPr>
                <w:rFonts w:eastAsia="Times New Roman"/>
                <w:b/>
              </w:rPr>
              <w:t>Cupo N°5</w:t>
            </w:r>
          </w:p>
        </w:tc>
        <w:tc>
          <w:tcPr>
            <w:tcW w:w="1843" w:type="dxa"/>
          </w:tcPr>
          <w:p w14:paraId="7CCA657D" w14:textId="77777777" w:rsidR="002D03E9" w:rsidRPr="00FC29A2" w:rsidRDefault="002D03E9" w:rsidP="002D03E9">
            <w:pPr>
              <w:rPr>
                <w:rFonts w:eastAsia="Times New Roman"/>
                <w:b/>
              </w:rPr>
            </w:pPr>
            <w:r w:rsidRPr="00FC29A2">
              <w:rPr>
                <w:rFonts w:eastAsia="Times New Roman"/>
                <w:b/>
              </w:rPr>
              <w:t>Empresa Gran Minería No Metálica</w:t>
            </w:r>
          </w:p>
        </w:tc>
        <w:tc>
          <w:tcPr>
            <w:tcW w:w="2126" w:type="dxa"/>
          </w:tcPr>
          <w:p w14:paraId="7BA45A40" w14:textId="2353A1A5" w:rsidR="002D03E9" w:rsidRPr="00FC29A2" w:rsidRDefault="0083360A" w:rsidP="002D03E9">
            <w:pPr>
              <w:jc w:val="both"/>
              <w:rPr>
                <w:rFonts w:eastAsia="Times New Roman"/>
                <w:b/>
              </w:rPr>
            </w:pPr>
            <w:r w:rsidRPr="00FC29A2">
              <w:rPr>
                <w:rFonts w:eastAsia="Times New Roman"/>
                <w:b/>
              </w:rPr>
              <w:t xml:space="preserve">Germana </w:t>
            </w:r>
            <w:proofErr w:type="spellStart"/>
            <w:r w:rsidRPr="00FC29A2">
              <w:rPr>
                <w:rFonts w:eastAsia="Times New Roman"/>
                <w:b/>
              </w:rPr>
              <w:t>Gónzalez</w:t>
            </w:r>
            <w:proofErr w:type="spellEnd"/>
          </w:p>
        </w:tc>
        <w:tc>
          <w:tcPr>
            <w:tcW w:w="3544" w:type="dxa"/>
          </w:tcPr>
          <w:p w14:paraId="6B27548A" w14:textId="4B63BA47" w:rsidR="002D03E9" w:rsidRPr="00FC29A2" w:rsidRDefault="0083360A" w:rsidP="002D03E9">
            <w:pPr>
              <w:jc w:val="both"/>
              <w:rPr>
                <w:rFonts w:eastAsia="Times New Roman"/>
                <w:b/>
              </w:rPr>
            </w:pPr>
            <w:r w:rsidRPr="00FC29A2">
              <w:rPr>
                <w:rFonts w:eastAsia="Times New Roman"/>
                <w:b/>
              </w:rPr>
              <w:t xml:space="preserve">Sub Gerente de Asuntos </w:t>
            </w:r>
            <w:r w:rsidR="00B52437" w:rsidRPr="00FC29A2">
              <w:rPr>
                <w:rFonts w:eastAsia="Times New Roman"/>
                <w:b/>
              </w:rPr>
              <w:t>Públicos</w:t>
            </w:r>
            <w:r w:rsidRPr="00FC29A2">
              <w:rPr>
                <w:rFonts w:eastAsia="Times New Roman"/>
                <w:b/>
              </w:rPr>
              <w:t xml:space="preserve"> </w:t>
            </w:r>
            <w:r w:rsidR="002D03E9" w:rsidRPr="00FC29A2">
              <w:rPr>
                <w:rFonts w:eastAsia="Times New Roman"/>
                <w:b/>
              </w:rPr>
              <w:t xml:space="preserve">SQM Litio </w:t>
            </w:r>
          </w:p>
          <w:p w14:paraId="5EE325BF" w14:textId="77777777" w:rsidR="002D03E9" w:rsidRPr="00FC29A2" w:rsidRDefault="002D03E9" w:rsidP="002D03E9">
            <w:pPr>
              <w:jc w:val="both"/>
              <w:rPr>
                <w:rFonts w:eastAsia="Times New Roman"/>
                <w:b/>
              </w:rPr>
            </w:pPr>
          </w:p>
          <w:p w14:paraId="4B2BF4B7" w14:textId="77777777" w:rsidR="002D03E9" w:rsidRPr="00FC29A2" w:rsidRDefault="002D03E9" w:rsidP="002D03E9">
            <w:pPr>
              <w:jc w:val="both"/>
              <w:rPr>
                <w:rFonts w:eastAsia="Times New Roman"/>
                <w:b/>
              </w:rPr>
            </w:pPr>
          </w:p>
        </w:tc>
        <w:tc>
          <w:tcPr>
            <w:tcW w:w="1159" w:type="dxa"/>
          </w:tcPr>
          <w:p w14:paraId="7057F2A2" w14:textId="77777777" w:rsidR="002D03E9" w:rsidRPr="00FC29A2" w:rsidRDefault="002D03E9" w:rsidP="002D03E9">
            <w:pPr>
              <w:jc w:val="both"/>
              <w:rPr>
                <w:rFonts w:eastAsia="Times New Roman"/>
                <w:b/>
              </w:rPr>
            </w:pPr>
            <w:r w:rsidRPr="00FC29A2">
              <w:rPr>
                <w:rFonts w:eastAsia="Times New Roman"/>
                <w:b/>
              </w:rPr>
              <w:t>Si</w:t>
            </w:r>
          </w:p>
        </w:tc>
      </w:tr>
      <w:tr w:rsidR="002D03E9" w:rsidRPr="00B52437" w14:paraId="5848C8DF" w14:textId="77777777" w:rsidTr="00C201EE">
        <w:trPr>
          <w:trHeight w:val="455"/>
        </w:trPr>
        <w:tc>
          <w:tcPr>
            <w:tcW w:w="1237" w:type="dxa"/>
          </w:tcPr>
          <w:p w14:paraId="308FFB32" w14:textId="77777777" w:rsidR="002D03E9" w:rsidRPr="00FC29A2" w:rsidRDefault="002D03E9" w:rsidP="002D03E9">
            <w:pPr>
              <w:rPr>
                <w:rFonts w:eastAsia="Times New Roman"/>
                <w:b/>
              </w:rPr>
            </w:pPr>
            <w:r w:rsidRPr="00FC29A2">
              <w:rPr>
                <w:rFonts w:eastAsia="Times New Roman"/>
                <w:b/>
              </w:rPr>
              <w:lastRenderedPageBreak/>
              <w:t>Cupo N°6</w:t>
            </w:r>
          </w:p>
        </w:tc>
        <w:tc>
          <w:tcPr>
            <w:tcW w:w="1843" w:type="dxa"/>
          </w:tcPr>
          <w:p w14:paraId="1EA485A8" w14:textId="77777777" w:rsidR="002D03E9" w:rsidRPr="00FC29A2" w:rsidRDefault="002D03E9" w:rsidP="002D03E9">
            <w:pPr>
              <w:rPr>
                <w:rFonts w:eastAsia="Times New Roman"/>
                <w:b/>
              </w:rPr>
            </w:pPr>
            <w:r w:rsidRPr="00FC29A2">
              <w:rPr>
                <w:rFonts w:eastAsia="Times New Roman"/>
                <w:b/>
              </w:rPr>
              <w:t xml:space="preserve">Asociaciones Gremiales Mineras </w:t>
            </w:r>
          </w:p>
        </w:tc>
        <w:tc>
          <w:tcPr>
            <w:tcW w:w="2126" w:type="dxa"/>
          </w:tcPr>
          <w:p w14:paraId="28A8455D" w14:textId="77777777" w:rsidR="002D03E9" w:rsidRPr="00FC29A2" w:rsidRDefault="002D03E9" w:rsidP="002D03E9">
            <w:pPr>
              <w:jc w:val="both"/>
              <w:rPr>
                <w:rFonts w:eastAsia="Times New Roman"/>
                <w:b/>
              </w:rPr>
            </w:pPr>
            <w:r w:rsidRPr="00FC29A2">
              <w:rPr>
                <w:rFonts w:eastAsia="Times New Roman"/>
                <w:b/>
              </w:rPr>
              <w:t xml:space="preserve">Fernando Flores. </w:t>
            </w:r>
          </w:p>
        </w:tc>
        <w:tc>
          <w:tcPr>
            <w:tcW w:w="3544" w:type="dxa"/>
          </w:tcPr>
          <w:p w14:paraId="5A79D7A0" w14:textId="77777777" w:rsidR="002D03E9" w:rsidRPr="00FC29A2" w:rsidRDefault="002D03E9" w:rsidP="002D03E9">
            <w:pPr>
              <w:jc w:val="both"/>
              <w:rPr>
                <w:rFonts w:eastAsia="Times New Roman"/>
                <w:b/>
              </w:rPr>
            </w:pPr>
            <w:r w:rsidRPr="00FC29A2">
              <w:rPr>
                <w:rFonts w:eastAsia="Times New Roman"/>
                <w:b/>
              </w:rPr>
              <w:t>Vicepresidente Asociación Gremial Minera Taltal</w:t>
            </w:r>
          </w:p>
        </w:tc>
        <w:tc>
          <w:tcPr>
            <w:tcW w:w="1159" w:type="dxa"/>
          </w:tcPr>
          <w:p w14:paraId="0F5202F9" w14:textId="0F521120" w:rsidR="002D03E9" w:rsidRPr="00FC29A2" w:rsidRDefault="003522C1" w:rsidP="002D03E9">
            <w:pPr>
              <w:jc w:val="both"/>
              <w:rPr>
                <w:rFonts w:eastAsia="Times New Roman"/>
                <w:b/>
              </w:rPr>
            </w:pPr>
            <w:r w:rsidRPr="00FC29A2">
              <w:rPr>
                <w:rFonts w:eastAsia="Times New Roman"/>
                <w:b/>
              </w:rPr>
              <w:t>No</w:t>
            </w:r>
          </w:p>
        </w:tc>
      </w:tr>
      <w:tr w:rsidR="002D03E9" w:rsidRPr="00B52437" w14:paraId="5D403B90" w14:textId="77777777" w:rsidTr="00C201EE">
        <w:trPr>
          <w:trHeight w:val="377"/>
        </w:trPr>
        <w:tc>
          <w:tcPr>
            <w:tcW w:w="5206" w:type="dxa"/>
            <w:gridSpan w:val="3"/>
          </w:tcPr>
          <w:p w14:paraId="7B4EF89C" w14:textId="77777777" w:rsidR="002D03E9" w:rsidRPr="00FC29A2" w:rsidRDefault="002D03E9" w:rsidP="002D03E9">
            <w:pPr>
              <w:jc w:val="both"/>
              <w:rPr>
                <w:rFonts w:eastAsia="Times New Roman"/>
                <w:b/>
              </w:rPr>
            </w:pPr>
            <w:r w:rsidRPr="00FC29A2">
              <w:rPr>
                <w:rFonts w:ascii="Arial" w:eastAsia="Times New Roman" w:hAnsi="Arial" w:cs="Arial"/>
                <w:b/>
                <w:sz w:val="24"/>
                <w:szCs w:val="24"/>
                <w:lang w:val="es-ES"/>
              </w:rPr>
              <w:t>SECTOR ACADÉMICO</w:t>
            </w:r>
          </w:p>
        </w:tc>
        <w:tc>
          <w:tcPr>
            <w:tcW w:w="3544" w:type="dxa"/>
          </w:tcPr>
          <w:p w14:paraId="1FA48491" w14:textId="77777777" w:rsidR="002D03E9" w:rsidRPr="00FC29A2" w:rsidRDefault="002D03E9" w:rsidP="002D03E9">
            <w:pPr>
              <w:jc w:val="both"/>
              <w:rPr>
                <w:rFonts w:ascii="Arial" w:eastAsia="Times New Roman" w:hAnsi="Arial" w:cs="Arial"/>
                <w:b/>
                <w:sz w:val="24"/>
                <w:szCs w:val="24"/>
                <w:lang w:val="es-ES"/>
              </w:rPr>
            </w:pPr>
          </w:p>
        </w:tc>
        <w:tc>
          <w:tcPr>
            <w:tcW w:w="1159" w:type="dxa"/>
          </w:tcPr>
          <w:p w14:paraId="057E66F3" w14:textId="77777777" w:rsidR="002D03E9" w:rsidRPr="00FC29A2" w:rsidRDefault="002D03E9" w:rsidP="002D03E9">
            <w:pPr>
              <w:jc w:val="both"/>
              <w:rPr>
                <w:rFonts w:ascii="Arial" w:eastAsia="Times New Roman" w:hAnsi="Arial" w:cs="Arial"/>
                <w:b/>
                <w:sz w:val="24"/>
                <w:szCs w:val="24"/>
                <w:lang w:val="es-ES"/>
              </w:rPr>
            </w:pPr>
          </w:p>
        </w:tc>
      </w:tr>
      <w:tr w:rsidR="002D03E9" w:rsidRPr="00B52437" w14:paraId="5041F209" w14:textId="77777777" w:rsidTr="00C201EE">
        <w:trPr>
          <w:trHeight w:val="377"/>
        </w:trPr>
        <w:tc>
          <w:tcPr>
            <w:tcW w:w="1237" w:type="dxa"/>
          </w:tcPr>
          <w:p w14:paraId="0439E180" w14:textId="77777777" w:rsidR="002D03E9" w:rsidRPr="00FC29A2" w:rsidRDefault="002D03E9" w:rsidP="002D03E9">
            <w:pPr>
              <w:rPr>
                <w:rFonts w:eastAsia="Times New Roman"/>
                <w:b/>
              </w:rPr>
            </w:pPr>
            <w:r w:rsidRPr="00FC29A2">
              <w:rPr>
                <w:rFonts w:eastAsia="Times New Roman"/>
                <w:b/>
              </w:rPr>
              <w:t>Cupo N°7</w:t>
            </w:r>
          </w:p>
        </w:tc>
        <w:tc>
          <w:tcPr>
            <w:tcW w:w="1843" w:type="dxa"/>
          </w:tcPr>
          <w:p w14:paraId="3B8CAB57" w14:textId="77777777" w:rsidR="002D03E9" w:rsidRPr="00FC29A2" w:rsidRDefault="002D03E9" w:rsidP="002D03E9">
            <w:pPr>
              <w:rPr>
                <w:rFonts w:eastAsia="Times New Roman"/>
                <w:b/>
              </w:rPr>
            </w:pPr>
            <w:r w:rsidRPr="00FC29A2">
              <w:rPr>
                <w:rFonts w:eastAsia="Times New Roman"/>
                <w:b/>
              </w:rPr>
              <w:t>Centro universitario CRUCH</w:t>
            </w:r>
          </w:p>
        </w:tc>
        <w:tc>
          <w:tcPr>
            <w:tcW w:w="2126" w:type="dxa"/>
          </w:tcPr>
          <w:p w14:paraId="1E95F928" w14:textId="77777777" w:rsidR="002D03E9" w:rsidRPr="00FC29A2" w:rsidRDefault="002D03E9" w:rsidP="002D03E9">
            <w:pPr>
              <w:jc w:val="both"/>
              <w:rPr>
                <w:rFonts w:eastAsia="Times New Roman"/>
                <w:b/>
              </w:rPr>
            </w:pPr>
            <w:r w:rsidRPr="00FC29A2">
              <w:rPr>
                <w:rFonts w:eastAsia="Times New Roman"/>
                <w:b/>
              </w:rPr>
              <w:t xml:space="preserve">María Cecilia </w:t>
            </w:r>
          </w:p>
        </w:tc>
        <w:tc>
          <w:tcPr>
            <w:tcW w:w="3544" w:type="dxa"/>
          </w:tcPr>
          <w:p w14:paraId="7A84311E" w14:textId="77777777" w:rsidR="002D03E9" w:rsidRPr="00FC29A2" w:rsidRDefault="002D03E9" w:rsidP="002D03E9">
            <w:pPr>
              <w:jc w:val="both"/>
              <w:rPr>
                <w:rFonts w:eastAsia="Times New Roman"/>
                <w:b/>
              </w:rPr>
            </w:pPr>
            <w:r w:rsidRPr="00FC29A2">
              <w:rPr>
                <w:rFonts w:eastAsia="Times New Roman"/>
                <w:b/>
              </w:rPr>
              <w:t>Rectora UCN</w:t>
            </w:r>
          </w:p>
          <w:p w14:paraId="3C5D57F1" w14:textId="77777777" w:rsidR="002D03E9" w:rsidRPr="00FC29A2" w:rsidRDefault="002D03E9" w:rsidP="002D03E9">
            <w:pPr>
              <w:jc w:val="both"/>
              <w:rPr>
                <w:rFonts w:eastAsia="Times New Roman"/>
                <w:b/>
              </w:rPr>
            </w:pPr>
          </w:p>
          <w:p w14:paraId="64037EC2" w14:textId="77777777" w:rsidR="002D03E9" w:rsidRPr="00FC29A2" w:rsidRDefault="002D03E9" w:rsidP="002D03E9">
            <w:pPr>
              <w:jc w:val="both"/>
              <w:rPr>
                <w:rFonts w:eastAsia="Times New Roman"/>
                <w:b/>
              </w:rPr>
            </w:pPr>
          </w:p>
        </w:tc>
        <w:tc>
          <w:tcPr>
            <w:tcW w:w="1159" w:type="dxa"/>
          </w:tcPr>
          <w:p w14:paraId="7522B9E1" w14:textId="77777777" w:rsidR="002D03E9" w:rsidRPr="00FC29A2" w:rsidRDefault="002D03E9" w:rsidP="002D03E9">
            <w:pPr>
              <w:jc w:val="both"/>
              <w:rPr>
                <w:rFonts w:eastAsia="Times New Roman"/>
                <w:b/>
              </w:rPr>
            </w:pPr>
            <w:r w:rsidRPr="00FC29A2">
              <w:rPr>
                <w:rFonts w:eastAsia="Times New Roman"/>
                <w:b/>
              </w:rPr>
              <w:t>No</w:t>
            </w:r>
          </w:p>
        </w:tc>
      </w:tr>
      <w:tr w:rsidR="002D03E9" w:rsidRPr="00B52437" w14:paraId="31E54931" w14:textId="77777777" w:rsidTr="00C201EE">
        <w:trPr>
          <w:trHeight w:val="377"/>
        </w:trPr>
        <w:tc>
          <w:tcPr>
            <w:tcW w:w="1237" w:type="dxa"/>
          </w:tcPr>
          <w:p w14:paraId="0CEF2282" w14:textId="77777777" w:rsidR="002D03E9" w:rsidRPr="00FC29A2" w:rsidRDefault="002D03E9" w:rsidP="002D03E9">
            <w:pPr>
              <w:rPr>
                <w:rFonts w:eastAsia="Times New Roman"/>
                <w:b/>
              </w:rPr>
            </w:pPr>
            <w:r w:rsidRPr="00FC29A2">
              <w:rPr>
                <w:rFonts w:eastAsia="Times New Roman"/>
                <w:b/>
              </w:rPr>
              <w:t>Cupo N°8</w:t>
            </w:r>
          </w:p>
        </w:tc>
        <w:tc>
          <w:tcPr>
            <w:tcW w:w="1843" w:type="dxa"/>
          </w:tcPr>
          <w:p w14:paraId="4D0B8388" w14:textId="77777777" w:rsidR="002D03E9" w:rsidRPr="00FC29A2" w:rsidRDefault="002D03E9" w:rsidP="002D03E9">
            <w:pPr>
              <w:rPr>
                <w:rFonts w:eastAsia="Times New Roman"/>
                <w:b/>
              </w:rPr>
            </w:pPr>
            <w:r w:rsidRPr="00FC29A2">
              <w:rPr>
                <w:rFonts w:eastAsia="Times New Roman"/>
                <w:b/>
              </w:rPr>
              <w:t>Centro universitario CRUCH</w:t>
            </w:r>
          </w:p>
        </w:tc>
        <w:tc>
          <w:tcPr>
            <w:tcW w:w="2126" w:type="dxa"/>
          </w:tcPr>
          <w:p w14:paraId="4DC1DBFC" w14:textId="77777777" w:rsidR="002D03E9" w:rsidRPr="00FC29A2" w:rsidRDefault="002D03E9" w:rsidP="002D03E9">
            <w:pPr>
              <w:jc w:val="both"/>
              <w:rPr>
                <w:rFonts w:eastAsia="Times New Roman"/>
                <w:b/>
              </w:rPr>
            </w:pPr>
            <w:r w:rsidRPr="00FC29A2">
              <w:rPr>
                <w:rFonts w:eastAsia="Times New Roman"/>
                <w:b/>
              </w:rPr>
              <w:t xml:space="preserve">Marcos </w:t>
            </w:r>
            <w:proofErr w:type="spellStart"/>
            <w:r w:rsidRPr="00FC29A2">
              <w:rPr>
                <w:rFonts w:eastAsia="Times New Roman"/>
                <w:b/>
              </w:rPr>
              <w:t>Cikutovic</w:t>
            </w:r>
            <w:proofErr w:type="spellEnd"/>
          </w:p>
        </w:tc>
        <w:tc>
          <w:tcPr>
            <w:tcW w:w="3544" w:type="dxa"/>
          </w:tcPr>
          <w:p w14:paraId="21213BC0" w14:textId="77777777" w:rsidR="002D03E9" w:rsidRPr="00FC29A2" w:rsidRDefault="002D03E9" w:rsidP="002D03E9">
            <w:pPr>
              <w:jc w:val="both"/>
              <w:rPr>
                <w:rFonts w:eastAsia="Times New Roman"/>
                <w:b/>
              </w:rPr>
            </w:pPr>
            <w:r w:rsidRPr="00FC29A2">
              <w:rPr>
                <w:rFonts w:eastAsia="Times New Roman"/>
                <w:b/>
              </w:rPr>
              <w:t>Rector UA</w:t>
            </w:r>
          </w:p>
        </w:tc>
        <w:tc>
          <w:tcPr>
            <w:tcW w:w="1159" w:type="dxa"/>
          </w:tcPr>
          <w:p w14:paraId="12FDE921" w14:textId="77777777" w:rsidR="002D03E9" w:rsidRPr="00FC29A2" w:rsidRDefault="002D03E9" w:rsidP="002D03E9">
            <w:pPr>
              <w:jc w:val="both"/>
              <w:rPr>
                <w:rFonts w:eastAsia="Times New Roman"/>
                <w:b/>
              </w:rPr>
            </w:pPr>
            <w:r w:rsidRPr="00FC29A2">
              <w:rPr>
                <w:rFonts w:eastAsia="Times New Roman"/>
                <w:b/>
              </w:rPr>
              <w:t>Si</w:t>
            </w:r>
          </w:p>
        </w:tc>
      </w:tr>
      <w:tr w:rsidR="002D03E9" w:rsidRPr="00B52437" w14:paraId="2F2A3B3E" w14:textId="77777777" w:rsidTr="00C201EE">
        <w:trPr>
          <w:trHeight w:val="377"/>
        </w:trPr>
        <w:tc>
          <w:tcPr>
            <w:tcW w:w="1237" w:type="dxa"/>
          </w:tcPr>
          <w:p w14:paraId="4435AB1A" w14:textId="77777777" w:rsidR="002D03E9" w:rsidRPr="00FC29A2" w:rsidRDefault="002D03E9" w:rsidP="002D03E9">
            <w:pPr>
              <w:rPr>
                <w:rFonts w:eastAsia="Times New Roman"/>
                <w:b/>
              </w:rPr>
            </w:pPr>
            <w:r w:rsidRPr="00FC29A2">
              <w:rPr>
                <w:rFonts w:eastAsia="Times New Roman"/>
                <w:b/>
              </w:rPr>
              <w:t>Cupo N°9</w:t>
            </w:r>
          </w:p>
        </w:tc>
        <w:tc>
          <w:tcPr>
            <w:tcW w:w="1843" w:type="dxa"/>
          </w:tcPr>
          <w:p w14:paraId="59F1D72A" w14:textId="77777777" w:rsidR="002D03E9" w:rsidRPr="00FC29A2" w:rsidRDefault="002D03E9" w:rsidP="002D03E9">
            <w:pPr>
              <w:rPr>
                <w:rFonts w:eastAsia="Times New Roman"/>
                <w:b/>
              </w:rPr>
            </w:pPr>
            <w:r w:rsidRPr="00FC29A2">
              <w:rPr>
                <w:rFonts w:eastAsia="Times New Roman"/>
                <w:b/>
              </w:rPr>
              <w:t>Centro de formación técnica CFT</w:t>
            </w:r>
          </w:p>
        </w:tc>
        <w:tc>
          <w:tcPr>
            <w:tcW w:w="2126" w:type="dxa"/>
          </w:tcPr>
          <w:p w14:paraId="2DD8547B" w14:textId="77777777" w:rsidR="002D03E9" w:rsidRPr="00FC29A2" w:rsidRDefault="002D03E9" w:rsidP="002D03E9">
            <w:pPr>
              <w:jc w:val="both"/>
              <w:rPr>
                <w:rFonts w:eastAsia="Times New Roman"/>
                <w:b/>
              </w:rPr>
            </w:pPr>
            <w:proofErr w:type="spellStart"/>
            <w:r w:rsidRPr="00FC29A2">
              <w:rPr>
                <w:rFonts w:eastAsia="Times New Roman"/>
                <w:b/>
              </w:rPr>
              <w:t>Banira</w:t>
            </w:r>
            <w:proofErr w:type="spellEnd"/>
            <w:r w:rsidRPr="00FC29A2">
              <w:rPr>
                <w:rFonts w:eastAsia="Times New Roman"/>
                <w:b/>
              </w:rPr>
              <w:t xml:space="preserve"> Ponce Rivera</w:t>
            </w:r>
          </w:p>
        </w:tc>
        <w:tc>
          <w:tcPr>
            <w:tcW w:w="3544" w:type="dxa"/>
          </w:tcPr>
          <w:p w14:paraId="5F2DAD93" w14:textId="77777777" w:rsidR="002D03E9" w:rsidRPr="00FC29A2" w:rsidRDefault="002D03E9" w:rsidP="002D03E9">
            <w:pPr>
              <w:jc w:val="both"/>
              <w:rPr>
                <w:rFonts w:eastAsia="Times New Roman"/>
                <w:b/>
              </w:rPr>
            </w:pPr>
            <w:r w:rsidRPr="00FC29A2">
              <w:rPr>
                <w:rFonts w:eastAsia="Times New Roman"/>
                <w:b/>
              </w:rPr>
              <w:t>Rectora CFT Estatal</w:t>
            </w:r>
          </w:p>
        </w:tc>
        <w:tc>
          <w:tcPr>
            <w:tcW w:w="1159" w:type="dxa"/>
          </w:tcPr>
          <w:p w14:paraId="7668D7C3" w14:textId="77777777" w:rsidR="002D03E9" w:rsidRPr="00FC29A2" w:rsidRDefault="002D03E9" w:rsidP="002D03E9">
            <w:pPr>
              <w:jc w:val="both"/>
              <w:rPr>
                <w:rFonts w:eastAsia="Times New Roman"/>
                <w:b/>
              </w:rPr>
            </w:pPr>
            <w:r w:rsidRPr="00FC29A2">
              <w:rPr>
                <w:rFonts w:eastAsia="Times New Roman"/>
                <w:b/>
              </w:rPr>
              <w:t xml:space="preserve">NO </w:t>
            </w:r>
          </w:p>
        </w:tc>
      </w:tr>
      <w:tr w:rsidR="00B52437" w:rsidRPr="00B52437" w14:paraId="6EF7CD73" w14:textId="77777777" w:rsidTr="0041605D">
        <w:trPr>
          <w:trHeight w:val="377"/>
        </w:trPr>
        <w:tc>
          <w:tcPr>
            <w:tcW w:w="5206" w:type="dxa"/>
            <w:gridSpan w:val="3"/>
          </w:tcPr>
          <w:p w14:paraId="7446BEB3" w14:textId="1C4E74E2" w:rsidR="00B52437" w:rsidRPr="00FC29A2" w:rsidRDefault="00B52437" w:rsidP="002D03E9">
            <w:pPr>
              <w:jc w:val="both"/>
              <w:rPr>
                <w:rFonts w:eastAsia="Times New Roman"/>
                <w:b/>
              </w:rPr>
            </w:pPr>
            <w:r w:rsidRPr="00FC29A2">
              <w:rPr>
                <w:rFonts w:ascii="Arial" w:eastAsia="Times New Roman" w:hAnsi="Arial" w:cs="Arial"/>
                <w:b/>
                <w:sz w:val="24"/>
                <w:szCs w:val="24"/>
                <w:lang w:val="es-ES"/>
              </w:rPr>
              <w:t>SECTOR SOCIEDAD CIVIL</w:t>
            </w:r>
          </w:p>
        </w:tc>
        <w:tc>
          <w:tcPr>
            <w:tcW w:w="3544" w:type="dxa"/>
          </w:tcPr>
          <w:p w14:paraId="590EC4B3" w14:textId="77777777" w:rsidR="00B52437" w:rsidRPr="00FC29A2" w:rsidRDefault="00B52437" w:rsidP="002D03E9">
            <w:pPr>
              <w:jc w:val="both"/>
              <w:rPr>
                <w:rFonts w:eastAsia="Times New Roman"/>
                <w:b/>
              </w:rPr>
            </w:pPr>
          </w:p>
        </w:tc>
        <w:tc>
          <w:tcPr>
            <w:tcW w:w="1159" w:type="dxa"/>
          </w:tcPr>
          <w:p w14:paraId="269CF88C" w14:textId="77777777" w:rsidR="00B52437" w:rsidRPr="00FC29A2" w:rsidRDefault="00B52437" w:rsidP="002D03E9">
            <w:pPr>
              <w:jc w:val="both"/>
              <w:rPr>
                <w:rFonts w:eastAsia="Times New Roman"/>
                <w:b/>
              </w:rPr>
            </w:pPr>
          </w:p>
        </w:tc>
      </w:tr>
      <w:tr w:rsidR="002D03E9" w:rsidRPr="00B52437" w14:paraId="17272EE1" w14:textId="77777777" w:rsidTr="00C201EE">
        <w:trPr>
          <w:trHeight w:val="377"/>
        </w:trPr>
        <w:tc>
          <w:tcPr>
            <w:tcW w:w="1237" w:type="dxa"/>
          </w:tcPr>
          <w:p w14:paraId="3391B6A1" w14:textId="77777777" w:rsidR="002D03E9" w:rsidRPr="00FC29A2" w:rsidRDefault="002D03E9" w:rsidP="002D03E9">
            <w:pPr>
              <w:rPr>
                <w:rFonts w:eastAsia="Times New Roman"/>
                <w:b/>
              </w:rPr>
            </w:pPr>
            <w:r w:rsidRPr="00FC29A2">
              <w:rPr>
                <w:rFonts w:eastAsia="Times New Roman"/>
                <w:b/>
              </w:rPr>
              <w:t>Cupo N°10</w:t>
            </w:r>
          </w:p>
        </w:tc>
        <w:tc>
          <w:tcPr>
            <w:tcW w:w="1843" w:type="dxa"/>
          </w:tcPr>
          <w:p w14:paraId="78181015" w14:textId="77777777" w:rsidR="002D03E9" w:rsidRPr="00FC29A2" w:rsidRDefault="002D03E9" w:rsidP="002D03E9">
            <w:pPr>
              <w:rPr>
                <w:rFonts w:eastAsia="Times New Roman"/>
                <w:b/>
              </w:rPr>
            </w:pPr>
            <w:r w:rsidRPr="00FC29A2">
              <w:rPr>
                <w:rFonts w:eastAsia="Times New Roman"/>
                <w:b/>
              </w:rPr>
              <w:t>Representantes comunidades Indígenas</w:t>
            </w:r>
          </w:p>
        </w:tc>
        <w:tc>
          <w:tcPr>
            <w:tcW w:w="2126" w:type="dxa"/>
          </w:tcPr>
          <w:p w14:paraId="4E2DEE6A" w14:textId="77777777" w:rsidR="002D03E9" w:rsidRPr="00FC29A2" w:rsidRDefault="002D03E9" w:rsidP="002D03E9">
            <w:pPr>
              <w:jc w:val="both"/>
              <w:rPr>
                <w:rFonts w:eastAsia="Times New Roman"/>
                <w:b/>
              </w:rPr>
            </w:pPr>
            <w:r w:rsidRPr="00FC29A2">
              <w:rPr>
                <w:rFonts w:eastAsia="Times New Roman"/>
                <w:b/>
              </w:rPr>
              <w:t>Wilson Segovia</w:t>
            </w:r>
          </w:p>
          <w:p w14:paraId="53202ADA" w14:textId="77777777" w:rsidR="002D03E9" w:rsidRPr="00FC29A2" w:rsidRDefault="002D03E9" w:rsidP="002D03E9">
            <w:pPr>
              <w:jc w:val="both"/>
              <w:rPr>
                <w:rFonts w:eastAsia="Times New Roman"/>
                <w:b/>
              </w:rPr>
            </w:pPr>
          </w:p>
          <w:p w14:paraId="1418DEF1" w14:textId="77777777" w:rsidR="002D03E9" w:rsidRPr="00FC29A2" w:rsidRDefault="002D03E9" w:rsidP="002D03E9">
            <w:pPr>
              <w:jc w:val="both"/>
              <w:rPr>
                <w:rFonts w:eastAsia="Times New Roman"/>
                <w:b/>
              </w:rPr>
            </w:pPr>
          </w:p>
          <w:p w14:paraId="192D6CB0" w14:textId="77777777" w:rsidR="002D03E9" w:rsidRPr="00FC29A2" w:rsidRDefault="002D03E9" w:rsidP="002D03E9">
            <w:pPr>
              <w:jc w:val="both"/>
              <w:rPr>
                <w:rFonts w:eastAsia="Times New Roman"/>
                <w:b/>
              </w:rPr>
            </w:pPr>
            <w:r w:rsidRPr="00FC29A2">
              <w:rPr>
                <w:rFonts w:eastAsia="Times New Roman"/>
                <w:b/>
              </w:rPr>
              <w:t>Sandra Cruz</w:t>
            </w:r>
          </w:p>
          <w:p w14:paraId="7EAF6B0F" w14:textId="77777777" w:rsidR="002D03E9" w:rsidRPr="00FC29A2" w:rsidRDefault="002D03E9" w:rsidP="002D03E9">
            <w:pPr>
              <w:jc w:val="both"/>
              <w:rPr>
                <w:rFonts w:eastAsia="Times New Roman"/>
                <w:b/>
              </w:rPr>
            </w:pPr>
          </w:p>
        </w:tc>
        <w:tc>
          <w:tcPr>
            <w:tcW w:w="3544" w:type="dxa"/>
          </w:tcPr>
          <w:p w14:paraId="2AAB1776" w14:textId="77777777" w:rsidR="002D03E9" w:rsidRPr="00FC29A2" w:rsidRDefault="002D03E9" w:rsidP="002D03E9">
            <w:pPr>
              <w:jc w:val="both"/>
              <w:rPr>
                <w:rFonts w:eastAsia="Times New Roman"/>
                <w:b/>
              </w:rPr>
            </w:pPr>
            <w:r w:rsidRPr="00FC29A2">
              <w:rPr>
                <w:rFonts w:eastAsia="Times New Roman"/>
                <w:b/>
              </w:rPr>
              <w:t xml:space="preserve">Representante ADI Alto El Loa </w:t>
            </w:r>
          </w:p>
          <w:p w14:paraId="00AFCAD6" w14:textId="77777777" w:rsidR="002D03E9" w:rsidRPr="00FC29A2" w:rsidRDefault="002D03E9" w:rsidP="002D03E9">
            <w:pPr>
              <w:jc w:val="both"/>
              <w:rPr>
                <w:rFonts w:eastAsia="Times New Roman"/>
                <w:b/>
              </w:rPr>
            </w:pPr>
          </w:p>
          <w:p w14:paraId="7305135C" w14:textId="77777777" w:rsidR="002D03E9" w:rsidRPr="00FC29A2" w:rsidRDefault="002D03E9" w:rsidP="002D03E9">
            <w:pPr>
              <w:jc w:val="both"/>
              <w:rPr>
                <w:rFonts w:eastAsia="Times New Roman"/>
                <w:b/>
              </w:rPr>
            </w:pPr>
          </w:p>
          <w:p w14:paraId="24C4A34A" w14:textId="77777777" w:rsidR="002D03E9" w:rsidRPr="00FC29A2" w:rsidRDefault="002D03E9" w:rsidP="002D03E9">
            <w:pPr>
              <w:jc w:val="both"/>
              <w:rPr>
                <w:rFonts w:eastAsia="Times New Roman"/>
                <w:b/>
              </w:rPr>
            </w:pPr>
            <w:r w:rsidRPr="00FC29A2">
              <w:rPr>
                <w:rFonts w:eastAsia="Times New Roman"/>
                <w:b/>
              </w:rPr>
              <w:t>Representante ADI Atacama La Grande</w:t>
            </w:r>
          </w:p>
        </w:tc>
        <w:tc>
          <w:tcPr>
            <w:tcW w:w="1159" w:type="dxa"/>
          </w:tcPr>
          <w:p w14:paraId="26B91E6F" w14:textId="77777777" w:rsidR="002D03E9" w:rsidRPr="00FC29A2" w:rsidRDefault="002D03E9" w:rsidP="002D03E9">
            <w:pPr>
              <w:jc w:val="both"/>
              <w:rPr>
                <w:rFonts w:eastAsia="Times New Roman"/>
                <w:b/>
              </w:rPr>
            </w:pPr>
            <w:r w:rsidRPr="00FC29A2">
              <w:rPr>
                <w:rFonts w:eastAsia="Times New Roman"/>
                <w:b/>
              </w:rPr>
              <w:t>No</w:t>
            </w:r>
          </w:p>
          <w:p w14:paraId="26D145EB" w14:textId="77777777" w:rsidR="002D03E9" w:rsidRPr="00FC29A2" w:rsidRDefault="002D03E9" w:rsidP="002D03E9">
            <w:pPr>
              <w:jc w:val="both"/>
              <w:rPr>
                <w:rFonts w:eastAsia="Times New Roman"/>
                <w:b/>
              </w:rPr>
            </w:pPr>
          </w:p>
          <w:p w14:paraId="457407AF" w14:textId="77777777" w:rsidR="002D03E9" w:rsidRPr="00FC29A2" w:rsidRDefault="002D03E9" w:rsidP="002D03E9">
            <w:pPr>
              <w:jc w:val="both"/>
              <w:rPr>
                <w:rFonts w:eastAsia="Times New Roman"/>
                <w:b/>
              </w:rPr>
            </w:pPr>
          </w:p>
          <w:p w14:paraId="0F57B113" w14:textId="3337CA85" w:rsidR="002D03E9" w:rsidRPr="00FC29A2" w:rsidRDefault="002D03E9" w:rsidP="002D03E9">
            <w:pPr>
              <w:jc w:val="both"/>
              <w:rPr>
                <w:rFonts w:eastAsia="Times New Roman"/>
                <w:b/>
              </w:rPr>
            </w:pPr>
            <w:r w:rsidRPr="00FC29A2">
              <w:rPr>
                <w:rFonts w:eastAsia="Times New Roman"/>
                <w:b/>
              </w:rPr>
              <w:t>SI</w:t>
            </w:r>
          </w:p>
          <w:p w14:paraId="3230D9FB" w14:textId="77777777" w:rsidR="002D03E9" w:rsidRPr="00FC29A2" w:rsidRDefault="002D03E9" w:rsidP="002D03E9">
            <w:pPr>
              <w:jc w:val="both"/>
              <w:rPr>
                <w:rFonts w:eastAsia="Times New Roman"/>
                <w:b/>
              </w:rPr>
            </w:pPr>
          </w:p>
        </w:tc>
      </w:tr>
      <w:tr w:rsidR="002D03E9" w:rsidRPr="00B52437" w14:paraId="1D0A187E" w14:textId="77777777" w:rsidTr="00C201EE">
        <w:trPr>
          <w:trHeight w:val="377"/>
        </w:trPr>
        <w:tc>
          <w:tcPr>
            <w:tcW w:w="1237" w:type="dxa"/>
          </w:tcPr>
          <w:p w14:paraId="553E2629" w14:textId="77777777" w:rsidR="002D03E9" w:rsidRPr="00FC29A2" w:rsidRDefault="002D03E9" w:rsidP="002D03E9">
            <w:pPr>
              <w:rPr>
                <w:rFonts w:eastAsia="Times New Roman"/>
                <w:b/>
              </w:rPr>
            </w:pPr>
            <w:r w:rsidRPr="00FC29A2">
              <w:rPr>
                <w:rFonts w:eastAsia="Times New Roman"/>
                <w:b/>
              </w:rPr>
              <w:t>Cupo N°11</w:t>
            </w:r>
          </w:p>
        </w:tc>
        <w:tc>
          <w:tcPr>
            <w:tcW w:w="1843" w:type="dxa"/>
          </w:tcPr>
          <w:p w14:paraId="4C4AC41E" w14:textId="77777777" w:rsidR="002D03E9" w:rsidRPr="00FC29A2" w:rsidRDefault="002D03E9" w:rsidP="002D03E9">
            <w:pPr>
              <w:rPr>
                <w:rFonts w:eastAsia="Times New Roman"/>
                <w:b/>
              </w:rPr>
            </w:pPr>
            <w:r w:rsidRPr="00FC29A2">
              <w:rPr>
                <w:rFonts w:eastAsia="Times New Roman"/>
                <w:b/>
              </w:rPr>
              <w:t xml:space="preserve">CONSEJOS DE LA SOCIEDAD CIVIL </w:t>
            </w:r>
          </w:p>
        </w:tc>
        <w:tc>
          <w:tcPr>
            <w:tcW w:w="2126" w:type="dxa"/>
          </w:tcPr>
          <w:p w14:paraId="6B5288D7" w14:textId="77777777" w:rsidR="002D03E9" w:rsidRPr="00FC29A2" w:rsidRDefault="002D03E9" w:rsidP="002D03E9">
            <w:pPr>
              <w:jc w:val="both"/>
              <w:rPr>
                <w:rFonts w:eastAsia="Times New Roman"/>
                <w:b/>
              </w:rPr>
            </w:pPr>
            <w:r w:rsidRPr="00FC29A2">
              <w:rPr>
                <w:rFonts w:eastAsia="Times New Roman"/>
                <w:b/>
              </w:rPr>
              <w:t>Marcela Bahamondes</w:t>
            </w:r>
          </w:p>
        </w:tc>
        <w:tc>
          <w:tcPr>
            <w:tcW w:w="3544" w:type="dxa"/>
          </w:tcPr>
          <w:p w14:paraId="5858870E" w14:textId="77777777" w:rsidR="002D03E9" w:rsidRPr="00FC29A2" w:rsidRDefault="002D03E9" w:rsidP="002D03E9">
            <w:pPr>
              <w:jc w:val="both"/>
              <w:rPr>
                <w:rFonts w:eastAsia="Times New Roman"/>
                <w:b/>
              </w:rPr>
            </w:pPr>
            <w:r w:rsidRPr="00FC29A2">
              <w:rPr>
                <w:rFonts w:eastAsia="Times New Roman"/>
                <w:b/>
              </w:rPr>
              <w:t>Representante COSOC GORE</w:t>
            </w:r>
          </w:p>
        </w:tc>
        <w:tc>
          <w:tcPr>
            <w:tcW w:w="1159" w:type="dxa"/>
          </w:tcPr>
          <w:p w14:paraId="5742141A" w14:textId="57CC0166" w:rsidR="002D03E9" w:rsidRPr="00FC29A2" w:rsidRDefault="003522C1" w:rsidP="002D03E9">
            <w:pPr>
              <w:jc w:val="both"/>
              <w:rPr>
                <w:rFonts w:eastAsia="Times New Roman"/>
                <w:b/>
              </w:rPr>
            </w:pPr>
            <w:r w:rsidRPr="00FC29A2">
              <w:rPr>
                <w:rFonts w:eastAsia="Times New Roman"/>
                <w:b/>
              </w:rPr>
              <w:t>Si</w:t>
            </w:r>
          </w:p>
        </w:tc>
      </w:tr>
      <w:tr w:rsidR="002D03E9" w:rsidRPr="002D03E9" w14:paraId="15562197" w14:textId="77777777" w:rsidTr="00C201EE">
        <w:trPr>
          <w:trHeight w:val="377"/>
        </w:trPr>
        <w:tc>
          <w:tcPr>
            <w:tcW w:w="1237" w:type="dxa"/>
          </w:tcPr>
          <w:p w14:paraId="275A5498" w14:textId="77777777" w:rsidR="002D03E9" w:rsidRPr="00FC29A2" w:rsidRDefault="002D03E9" w:rsidP="002D03E9">
            <w:pPr>
              <w:rPr>
                <w:rFonts w:eastAsia="Times New Roman"/>
                <w:b/>
              </w:rPr>
            </w:pPr>
            <w:r w:rsidRPr="00FC29A2">
              <w:rPr>
                <w:rFonts w:eastAsia="Times New Roman"/>
                <w:b/>
              </w:rPr>
              <w:t>Cupo N°12</w:t>
            </w:r>
          </w:p>
        </w:tc>
        <w:tc>
          <w:tcPr>
            <w:tcW w:w="1843" w:type="dxa"/>
          </w:tcPr>
          <w:p w14:paraId="4F6C153F" w14:textId="77777777" w:rsidR="002D03E9" w:rsidRPr="00FC29A2" w:rsidRDefault="002D03E9" w:rsidP="002D03E9">
            <w:pPr>
              <w:rPr>
                <w:rFonts w:eastAsia="Times New Roman"/>
                <w:b/>
              </w:rPr>
            </w:pPr>
            <w:r w:rsidRPr="00FC29A2">
              <w:rPr>
                <w:rFonts w:eastAsia="Times New Roman"/>
                <w:b/>
              </w:rPr>
              <w:t xml:space="preserve">Gremios </w:t>
            </w:r>
          </w:p>
        </w:tc>
        <w:tc>
          <w:tcPr>
            <w:tcW w:w="2126" w:type="dxa"/>
          </w:tcPr>
          <w:p w14:paraId="0077FD6A" w14:textId="77777777" w:rsidR="002D03E9" w:rsidRPr="00FC29A2" w:rsidRDefault="002D03E9" w:rsidP="002D03E9">
            <w:pPr>
              <w:jc w:val="both"/>
              <w:rPr>
                <w:rFonts w:eastAsia="Times New Roman"/>
                <w:b/>
              </w:rPr>
            </w:pPr>
            <w:proofErr w:type="spellStart"/>
            <w:r w:rsidRPr="00FC29A2">
              <w:rPr>
                <w:rFonts w:eastAsia="Times New Roman"/>
                <w:b/>
              </w:rPr>
              <w:t>Marko</w:t>
            </w:r>
            <w:proofErr w:type="spellEnd"/>
            <w:r w:rsidRPr="00FC29A2">
              <w:rPr>
                <w:rFonts w:eastAsia="Times New Roman"/>
                <w:b/>
              </w:rPr>
              <w:t xml:space="preserve"> </w:t>
            </w:r>
            <w:proofErr w:type="spellStart"/>
            <w:r w:rsidRPr="00FC29A2">
              <w:rPr>
                <w:rFonts w:eastAsia="Times New Roman"/>
                <w:b/>
              </w:rPr>
              <w:t>Razmilic</w:t>
            </w:r>
            <w:proofErr w:type="spellEnd"/>
          </w:p>
        </w:tc>
        <w:tc>
          <w:tcPr>
            <w:tcW w:w="3544" w:type="dxa"/>
          </w:tcPr>
          <w:p w14:paraId="164171B9" w14:textId="77777777" w:rsidR="002D03E9" w:rsidRPr="00FC29A2" w:rsidRDefault="002D03E9" w:rsidP="002D03E9">
            <w:pPr>
              <w:jc w:val="both"/>
              <w:rPr>
                <w:rFonts w:eastAsia="Times New Roman"/>
                <w:b/>
              </w:rPr>
            </w:pPr>
            <w:r w:rsidRPr="00FC29A2">
              <w:rPr>
                <w:rFonts w:eastAsia="Times New Roman"/>
                <w:b/>
              </w:rPr>
              <w:t xml:space="preserve">Presidente Asociación de Industriales </w:t>
            </w:r>
          </w:p>
        </w:tc>
        <w:tc>
          <w:tcPr>
            <w:tcW w:w="1159" w:type="dxa"/>
          </w:tcPr>
          <w:p w14:paraId="67B4921C" w14:textId="77777777" w:rsidR="002D03E9" w:rsidRPr="00FC29A2" w:rsidRDefault="002D03E9" w:rsidP="002D03E9">
            <w:pPr>
              <w:jc w:val="both"/>
              <w:rPr>
                <w:rFonts w:eastAsia="Times New Roman"/>
                <w:b/>
              </w:rPr>
            </w:pPr>
            <w:r w:rsidRPr="00FC29A2">
              <w:rPr>
                <w:rFonts w:eastAsia="Times New Roman"/>
                <w:b/>
              </w:rPr>
              <w:t>Si</w:t>
            </w:r>
          </w:p>
        </w:tc>
      </w:tr>
    </w:tbl>
    <w:p w14:paraId="3FB52715" w14:textId="77777777" w:rsidR="002D03E9" w:rsidRDefault="002D03E9">
      <w:pPr>
        <w:jc w:val="both"/>
      </w:pPr>
    </w:p>
    <w:p w14:paraId="6C1235C6" w14:textId="45851A52" w:rsidR="002D03E9" w:rsidRPr="00B52437" w:rsidRDefault="00B52437" w:rsidP="00B52437">
      <w:pPr>
        <w:shd w:val="clear" w:color="auto" w:fill="D9E2F3"/>
        <w:ind w:left="1416" w:hanging="1416"/>
        <w:jc w:val="both"/>
        <w:rPr>
          <w:b/>
        </w:rPr>
      </w:pPr>
      <w:r>
        <w:rPr>
          <w:b/>
        </w:rPr>
        <w:t>ASISTENCIA DE INTEGRANTES CON DERECHO A VOZ</w:t>
      </w:r>
    </w:p>
    <w:p w14:paraId="08BFB9B7" w14:textId="77777777" w:rsidR="002D03E9" w:rsidRPr="002D03E9" w:rsidRDefault="002D03E9" w:rsidP="002D03E9">
      <w:pPr>
        <w:spacing w:before="240" w:after="0"/>
        <w:jc w:val="both"/>
        <w:rPr>
          <w:rFonts w:eastAsia="Times New Roman"/>
          <w:b/>
        </w:rPr>
      </w:pPr>
      <w:r w:rsidRPr="002D03E9">
        <w:rPr>
          <w:rFonts w:eastAsia="Times New Roman"/>
          <w:b/>
        </w:rPr>
        <w:t>Equipo EMRA:</w:t>
      </w:r>
    </w:p>
    <w:tbl>
      <w:tblPr>
        <w:tblStyle w:val="Tablaconcuadrcula1"/>
        <w:tblW w:w="10065" w:type="dxa"/>
        <w:tblInd w:w="-147" w:type="dxa"/>
        <w:tblLook w:val="04A0" w:firstRow="1" w:lastRow="0" w:firstColumn="1" w:lastColumn="0" w:noHBand="0" w:noVBand="1"/>
      </w:tblPr>
      <w:tblGrid>
        <w:gridCol w:w="3673"/>
        <w:gridCol w:w="1998"/>
        <w:gridCol w:w="3108"/>
        <w:gridCol w:w="1286"/>
      </w:tblGrid>
      <w:tr w:rsidR="002D03E9" w:rsidRPr="002D03E9" w14:paraId="48724931" w14:textId="77777777" w:rsidTr="00C201EE">
        <w:tc>
          <w:tcPr>
            <w:tcW w:w="3673" w:type="dxa"/>
          </w:tcPr>
          <w:p w14:paraId="3E44473F" w14:textId="77777777" w:rsidR="002D03E9" w:rsidRPr="002D03E9" w:rsidRDefault="002D03E9" w:rsidP="002D03E9">
            <w:pPr>
              <w:spacing w:before="240"/>
              <w:jc w:val="both"/>
              <w:rPr>
                <w:b/>
              </w:rPr>
            </w:pPr>
            <w:r w:rsidRPr="002D03E9">
              <w:rPr>
                <w:b/>
              </w:rPr>
              <w:t>FUNCION PERMANENTE</w:t>
            </w:r>
          </w:p>
        </w:tc>
        <w:tc>
          <w:tcPr>
            <w:tcW w:w="1998" w:type="dxa"/>
          </w:tcPr>
          <w:p w14:paraId="5C6E0457" w14:textId="77777777" w:rsidR="002D03E9" w:rsidRPr="002D03E9" w:rsidRDefault="002D03E9" w:rsidP="002D03E9">
            <w:pPr>
              <w:spacing w:before="240"/>
              <w:jc w:val="both"/>
              <w:rPr>
                <w:b/>
              </w:rPr>
            </w:pPr>
            <w:r w:rsidRPr="002D03E9">
              <w:rPr>
                <w:b/>
              </w:rPr>
              <w:t>NOMBRE</w:t>
            </w:r>
          </w:p>
        </w:tc>
        <w:tc>
          <w:tcPr>
            <w:tcW w:w="3108" w:type="dxa"/>
          </w:tcPr>
          <w:p w14:paraId="03A97040" w14:textId="77777777" w:rsidR="002D03E9" w:rsidRPr="002D03E9" w:rsidRDefault="002D03E9" w:rsidP="002D03E9">
            <w:pPr>
              <w:spacing w:before="240"/>
              <w:jc w:val="both"/>
              <w:rPr>
                <w:b/>
              </w:rPr>
            </w:pPr>
          </w:p>
        </w:tc>
        <w:tc>
          <w:tcPr>
            <w:tcW w:w="1286" w:type="dxa"/>
          </w:tcPr>
          <w:p w14:paraId="1643F748" w14:textId="77777777" w:rsidR="002D03E9" w:rsidRPr="002D03E9" w:rsidRDefault="002D03E9" w:rsidP="002D03E9">
            <w:pPr>
              <w:spacing w:before="240"/>
              <w:jc w:val="both"/>
              <w:rPr>
                <w:b/>
              </w:rPr>
            </w:pPr>
            <w:r w:rsidRPr="002D03E9">
              <w:rPr>
                <w:b/>
              </w:rPr>
              <w:t>ASISTENCIA</w:t>
            </w:r>
          </w:p>
        </w:tc>
      </w:tr>
      <w:tr w:rsidR="002D03E9" w:rsidRPr="002D03E9" w14:paraId="71151D4D" w14:textId="77777777" w:rsidTr="00C201EE">
        <w:tc>
          <w:tcPr>
            <w:tcW w:w="3673" w:type="dxa"/>
          </w:tcPr>
          <w:p w14:paraId="636EB3F1" w14:textId="77777777" w:rsidR="002D03E9" w:rsidRPr="002D03E9" w:rsidRDefault="002D03E9" w:rsidP="002D03E9">
            <w:pPr>
              <w:spacing w:before="240"/>
              <w:jc w:val="both"/>
              <w:rPr>
                <w:b/>
              </w:rPr>
            </w:pPr>
            <w:bookmarkStart w:id="1" w:name="_Hlk198633048"/>
            <w:r w:rsidRPr="002D03E9">
              <w:rPr>
                <w:b/>
              </w:rPr>
              <w:t xml:space="preserve">Encargada secretaria ejecutiva </w:t>
            </w:r>
            <w:bookmarkEnd w:id="1"/>
            <w:r w:rsidRPr="002D03E9">
              <w:rPr>
                <w:b/>
              </w:rPr>
              <w:t>EMRA 2023-2050</w:t>
            </w:r>
          </w:p>
        </w:tc>
        <w:tc>
          <w:tcPr>
            <w:tcW w:w="1998" w:type="dxa"/>
          </w:tcPr>
          <w:p w14:paraId="28FA07E8" w14:textId="77777777" w:rsidR="002D03E9" w:rsidRPr="002D03E9" w:rsidRDefault="002D03E9" w:rsidP="002D03E9">
            <w:pPr>
              <w:spacing w:before="240"/>
              <w:jc w:val="both"/>
              <w:rPr>
                <w:b/>
              </w:rPr>
            </w:pPr>
            <w:r w:rsidRPr="002D03E9">
              <w:rPr>
                <w:b/>
              </w:rPr>
              <w:t xml:space="preserve">Gabriela Gómez </w:t>
            </w:r>
          </w:p>
        </w:tc>
        <w:tc>
          <w:tcPr>
            <w:tcW w:w="3108" w:type="dxa"/>
          </w:tcPr>
          <w:p w14:paraId="1B0E2394" w14:textId="77777777" w:rsidR="002D03E9" w:rsidRPr="002D03E9" w:rsidRDefault="002D03E9" w:rsidP="002D03E9">
            <w:pPr>
              <w:spacing w:before="240"/>
              <w:jc w:val="both"/>
              <w:rPr>
                <w:b/>
              </w:rPr>
            </w:pPr>
            <w:r w:rsidRPr="002D03E9">
              <w:rPr>
                <w:b/>
              </w:rPr>
              <w:t>Profesional Planta Gobierno Regional Antofagasta</w:t>
            </w:r>
          </w:p>
        </w:tc>
        <w:tc>
          <w:tcPr>
            <w:tcW w:w="1286" w:type="dxa"/>
          </w:tcPr>
          <w:p w14:paraId="0877A582" w14:textId="77777777" w:rsidR="002D03E9" w:rsidRPr="002D03E9" w:rsidRDefault="002D03E9" w:rsidP="002D03E9">
            <w:pPr>
              <w:spacing w:before="240"/>
              <w:jc w:val="both"/>
              <w:rPr>
                <w:b/>
              </w:rPr>
            </w:pPr>
            <w:r w:rsidRPr="002D03E9">
              <w:rPr>
                <w:b/>
              </w:rPr>
              <w:t>Si</w:t>
            </w:r>
          </w:p>
        </w:tc>
      </w:tr>
      <w:tr w:rsidR="002D03E9" w:rsidRPr="002D03E9" w14:paraId="4B5AC20B" w14:textId="77777777" w:rsidTr="00C201EE">
        <w:tc>
          <w:tcPr>
            <w:tcW w:w="3673" w:type="dxa"/>
          </w:tcPr>
          <w:p w14:paraId="52121233" w14:textId="77777777" w:rsidR="002D03E9" w:rsidRPr="002D03E9" w:rsidRDefault="002D03E9" w:rsidP="002D03E9">
            <w:pPr>
              <w:spacing w:before="240"/>
              <w:jc w:val="both"/>
              <w:rPr>
                <w:b/>
              </w:rPr>
            </w:pPr>
            <w:r w:rsidRPr="002D03E9">
              <w:rPr>
                <w:b/>
              </w:rPr>
              <w:t xml:space="preserve">Asesor GORE </w:t>
            </w:r>
          </w:p>
        </w:tc>
        <w:tc>
          <w:tcPr>
            <w:tcW w:w="1998" w:type="dxa"/>
          </w:tcPr>
          <w:p w14:paraId="1A5118DA" w14:textId="77777777" w:rsidR="002D03E9" w:rsidRPr="002D03E9" w:rsidRDefault="002D03E9" w:rsidP="002D03E9">
            <w:pPr>
              <w:spacing w:before="240"/>
              <w:jc w:val="both"/>
              <w:rPr>
                <w:b/>
              </w:rPr>
            </w:pPr>
            <w:r w:rsidRPr="002D03E9">
              <w:rPr>
                <w:b/>
              </w:rPr>
              <w:t>Cristian Rodríguez</w:t>
            </w:r>
          </w:p>
        </w:tc>
        <w:tc>
          <w:tcPr>
            <w:tcW w:w="3108" w:type="dxa"/>
          </w:tcPr>
          <w:p w14:paraId="3433335F" w14:textId="77777777" w:rsidR="002D03E9" w:rsidRPr="002D03E9" w:rsidRDefault="002D03E9" w:rsidP="002D03E9">
            <w:pPr>
              <w:spacing w:before="240"/>
              <w:jc w:val="both"/>
              <w:rPr>
                <w:b/>
              </w:rPr>
            </w:pPr>
            <w:r w:rsidRPr="002D03E9">
              <w:rPr>
                <w:b/>
              </w:rPr>
              <w:t>Director IPP UCN</w:t>
            </w:r>
          </w:p>
        </w:tc>
        <w:tc>
          <w:tcPr>
            <w:tcW w:w="1286" w:type="dxa"/>
          </w:tcPr>
          <w:p w14:paraId="2B4684A0" w14:textId="77777777" w:rsidR="002D03E9" w:rsidRPr="002D03E9" w:rsidRDefault="002D03E9" w:rsidP="002D03E9">
            <w:pPr>
              <w:spacing w:before="240"/>
              <w:jc w:val="both"/>
              <w:rPr>
                <w:b/>
              </w:rPr>
            </w:pPr>
            <w:r w:rsidRPr="002D03E9">
              <w:rPr>
                <w:b/>
              </w:rPr>
              <w:t xml:space="preserve">Si </w:t>
            </w:r>
          </w:p>
        </w:tc>
      </w:tr>
      <w:tr w:rsidR="002D03E9" w:rsidRPr="002D03E9" w14:paraId="7120BDD8" w14:textId="77777777" w:rsidTr="00C201EE">
        <w:tc>
          <w:tcPr>
            <w:tcW w:w="3673" w:type="dxa"/>
          </w:tcPr>
          <w:p w14:paraId="73D30A9E" w14:textId="77777777" w:rsidR="002D03E9" w:rsidRPr="002D03E9" w:rsidRDefault="002D03E9" w:rsidP="002D03E9">
            <w:pPr>
              <w:spacing w:before="240"/>
              <w:jc w:val="both"/>
              <w:rPr>
                <w:b/>
              </w:rPr>
            </w:pPr>
            <w:r w:rsidRPr="002D03E9">
              <w:rPr>
                <w:b/>
              </w:rPr>
              <w:t>Secretaria Técnica (apoyo operativo)</w:t>
            </w:r>
          </w:p>
        </w:tc>
        <w:tc>
          <w:tcPr>
            <w:tcW w:w="1998" w:type="dxa"/>
          </w:tcPr>
          <w:p w14:paraId="024B3B73" w14:textId="77777777" w:rsidR="002D03E9" w:rsidRPr="002D03E9" w:rsidRDefault="002D03E9" w:rsidP="002D03E9">
            <w:pPr>
              <w:spacing w:before="240"/>
              <w:jc w:val="both"/>
              <w:rPr>
                <w:b/>
              </w:rPr>
            </w:pPr>
            <w:r w:rsidRPr="002D03E9">
              <w:rPr>
                <w:b/>
              </w:rPr>
              <w:t>Orlando Gahona</w:t>
            </w:r>
          </w:p>
        </w:tc>
        <w:tc>
          <w:tcPr>
            <w:tcW w:w="3108" w:type="dxa"/>
          </w:tcPr>
          <w:p w14:paraId="1B345B8F" w14:textId="77777777" w:rsidR="002D03E9" w:rsidRPr="002D03E9" w:rsidRDefault="002D03E9" w:rsidP="002D03E9">
            <w:pPr>
              <w:spacing w:before="240"/>
              <w:jc w:val="both"/>
              <w:rPr>
                <w:b/>
              </w:rPr>
            </w:pPr>
            <w:r w:rsidRPr="002D03E9">
              <w:rPr>
                <w:b/>
              </w:rPr>
              <w:t>Gerente General Clúster Minero</w:t>
            </w:r>
          </w:p>
        </w:tc>
        <w:tc>
          <w:tcPr>
            <w:tcW w:w="1286" w:type="dxa"/>
          </w:tcPr>
          <w:p w14:paraId="42A939F1" w14:textId="77777777" w:rsidR="002D03E9" w:rsidRPr="002D03E9" w:rsidRDefault="002D03E9" w:rsidP="002D03E9">
            <w:pPr>
              <w:spacing w:before="240"/>
              <w:jc w:val="both"/>
              <w:rPr>
                <w:b/>
              </w:rPr>
            </w:pPr>
            <w:r w:rsidRPr="002D03E9">
              <w:rPr>
                <w:b/>
              </w:rPr>
              <w:t>Si</w:t>
            </w:r>
          </w:p>
        </w:tc>
      </w:tr>
    </w:tbl>
    <w:p w14:paraId="10200BDF" w14:textId="77777777" w:rsidR="002D03E9" w:rsidRPr="002D03E9" w:rsidRDefault="002D03E9" w:rsidP="002D03E9">
      <w:pPr>
        <w:jc w:val="both"/>
        <w:rPr>
          <w:rFonts w:eastAsia="Times New Roman"/>
          <w:b/>
          <w:color w:val="FF0000"/>
        </w:rPr>
      </w:pPr>
    </w:p>
    <w:p w14:paraId="37141214" w14:textId="77777777" w:rsidR="002D03E9" w:rsidRPr="002D03E9" w:rsidRDefault="002D03E9" w:rsidP="002D03E9">
      <w:pPr>
        <w:jc w:val="both"/>
        <w:rPr>
          <w:rFonts w:eastAsia="Times New Roman"/>
          <w:b/>
        </w:rPr>
      </w:pPr>
      <w:r w:rsidRPr="002D03E9">
        <w:rPr>
          <w:rFonts w:eastAsia="Times New Roman"/>
          <w:b/>
        </w:rPr>
        <w:t>Invitados por secretaria ejecutiva a esta sesión:</w:t>
      </w:r>
    </w:p>
    <w:tbl>
      <w:tblPr>
        <w:tblStyle w:val="Tablaconcuadrcula2"/>
        <w:tblW w:w="9918" w:type="dxa"/>
        <w:tblLook w:val="04A0" w:firstRow="1" w:lastRow="0" w:firstColumn="1" w:lastColumn="0" w:noHBand="0" w:noVBand="1"/>
      </w:tblPr>
      <w:tblGrid>
        <w:gridCol w:w="562"/>
        <w:gridCol w:w="2050"/>
        <w:gridCol w:w="6030"/>
        <w:gridCol w:w="1276"/>
      </w:tblGrid>
      <w:tr w:rsidR="002D03E9" w:rsidRPr="002D03E9" w14:paraId="789D074A" w14:textId="77777777" w:rsidTr="00AA49DA">
        <w:tc>
          <w:tcPr>
            <w:tcW w:w="562" w:type="dxa"/>
          </w:tcPr>
          <w:p w14:paraId="18064B0E" w14:textId="77777777" w:rsidR="002D03E9" w:rsidRPr="002D03E9" w:rsidRDefault="002D03E9" w:rsidP="002D03E9">
            <w:pPr>
              <w:jc w:val="both"/>
              <w:rPr>
                <w:b/>
              </w:rPr>
            </w:pPr>
            <w:proofErr w:type="spellStart"/>
            <w:r w:rsidRPr="002D03E9">
              <w:rPr>
                <w:b/>
              </w:rPr>
              <w:t>N°</w:t>
            </w:r>
            <w:proofErr w:type="spellEnd"/>
          </w:p>
        </w:tc>
        <w:tc>
          <w:tcPr>
            <w:tcW w:w="2050" w:type="dxa"/>
          </w:tcPr>
          <w:p w14:paraId="447A1DFE" w14:textId="77777777" w:rsidR="002D03E9" w:rsidRPr="002D03E9" w:rsidRDefault="002D03E9" w:rsidP="002D03E9">
            <w:pPr>
              <w:jc w:val="both"/>
              <w:rPr>
                <w:b/>
              </w:rPr>
            </w:pPr>
            <w:r w:rsidRPr="002D03E9">
              <w:rPr>
                <w:b/>
              </w:rPr>
              <w:t>NOMBRE</w:t>
            </w:r>
          </w:p>
        </w:tc>
        <w:tc>
          <w:tcPr>
            <w:tcW w:w="6030" w:type="dxa"/>
          </w:tcPr>
          <w:p w14:paraId="1BDD852C" w14:textId="77777777" w:rsidR="002D03E9" w:rsidRPr="002D03E9" w:rsidRDefault="002D03E9" w:rsidP="002D03E9">
            <w:pPr>
              <w:jc w:val="both"/>
              <w:rPr>
                <w:b/>
              </w:rPr>
            </w:pPr>
            <w:r w:rsidRPr="002D03E9">
              <w:rPr>
                <w:b/>
              </w:rPr>
              <w:t>INSTITUCION</w:t>
            </w:r>
          </w:p>
        </w:tc>
        <w:tc>
          <w:tcPr>
            <w:tcW w:w="1276" w:type="dxa"/>
          </w:tcPr>
          <w:p w14:paraId="1C4AB20B" w14:textId="77777777" w:rsidR="002D03E9" w:rsidRPr="002D03E9" w:rsidRDefault="002D03E9" w:rsidP="002D03E9">
            <w:pPr>
              <w:jc w:val="both"/>
              <w:rPr>
                <w:b/>
              </w:rPr>
            </w:pPr>
            <w:r w:rsidRPr="002D03E9">
              <w:rPr>
                <w:b/>
              </w:rPr>
              <w:t>Asistencia</w:t>
            </w:r>
          </w:p>
        </w:tc>
      </w:tr>
      <w:tr w:rsidR="003522C1" w:rsidRPr="002D03E9" w14:paraId="3233126F" w14:textId="77777777" w:rsidTr="00AA49DA">
        <w:tc>
          <w:tcPr>
            <w:tcW w:w="562" w:type="dxa"/>
          </w:tcPr>
          <w:p w14:paraId="0FCF10D7" w14:textId="26428096" w:rsidR="003522C1" w:rsidRPr="003522C1" w:rsidRDefault="003522C1" w:rsidP="003522C1">
            <w:pPr>
              <w:jc w:val="both"/>
              <w:rPr>
                <w:b/>
              </w:rPr>
            </w:pPr>
            <w:r w:rsidRPr="003522C1">
              <w:rPr>
                <w:b/>
              </w:rPr>
              <w:t>1</w:t>
            </w:r>
          </w:p>
        </w:tc>
        <w:tc>
          <w:tcPr>
            <w:tcW w:w="2050" w:type="dxa"/>
          </w:tcPr>
          <w:p w14:paraId="15C5CF24" w14:textId="1C2498F8" w:rsidR="003522C1" w:rsidRDefault="003522C1" w:rsidP="003522C1">
            <w:pPr>
              <w:jc w:val="both"/>
              <w:rPr>
                <w:b/>
              </w:rPr>
            </w:pPr>
            <w:r w:rsidRPr="002D03E9">
              <w:rPr>
                <w:b/>
              </w:rPr>
              <w:t>Andrea Merino</w:t>
            </w:r>
          </w:p>
        </w:tc>
        <w:tc>
          <w:tcPr>
            <w:tcW w:w="6030" w:type="dxa"/>
          </w:tcPr>
          <w:p w14:paraId="60A8530C" w14:textId="46FC230E" w:rsidR="003522C1" w:rsidRPr="002D03E9" w:rsidRDefault="003522C1" w:rsidP="003522C1">
            <w:pPr>
              <w:jc w:val="both"/>
              <w:rPr>
                <w:b/>
              </w:rPr>
            </w:pPr>
            <w:r w:rsidRPr="002D03E9">
              <w:rPr>
                <w:b/>
              </w:rPr>
              <w:t xml:space="preserve">Presidenta Comisión OE5 y </w:t>
            </w:r>
            <w:r w:rsidR="00EA0A71" w:rsidRPr="002D03E9">
              <w:rPr>
                <w:b/>
              </w:rPr>
              <w:t>consejera</w:t>
            </w:r>
            <w:r w:rsidRPr="002D03E9">
              <w:rPr>
                <w:b/>
              </w:rPr>
              <w:t xml:space="preserve"> </w:t>
            </w:r>
            <w:r w:rsidR="00EA0A71">
              <w:rPr>
                <w:b/>
              </w:rPr>
              <w:t>r</w:t>
            </w:r>
            <w:r w:rsidRPr="002D03E9">
              <w:rPr>
                <w:b/>
              </w:rPr>
              <w:t>egional</w:t>
            </w:r>
          </w:p>
        </w:tc>
        <w:tc>
          <w:tcPr>
            <w:tcW w:w="1276" w:type="dxa"/>
          </w:tcPr>
          <w:p w14:paraId="3486CB54" w14:textId="6CAFFDC8" w:rsidR="003522C1" w:rsidRDefault="003522C1" w:rsidP="003522C1">
            <w:pPr>
              <w:jc w:val="both"/>
              <w:rPr>
                <w:b/>
              </w:rPr>
            </w:pPr>
            <w:r w:rsidRPr="002D03E9">
              <w:rPr>
                <w:b/>
              </w:rPr>
              <w:t>Si</w:t>
            </w:r>
          </w:p>
        </w:tc>
      </w:tr>
      <w:tr w:rsidR="003522C1" w:rsidRPr="002D03E9" w14:paraId="56D5231E" w14:textId="77777777" w:rsidTr="00AA49DA">
        <w:tc>
          <w:tcPr>
            <w:tcW w:w="562" w:type="dxa"/>
          </w:tcPr>
          <w:p w14:paraId="4A1C9D26" w14:textId="604BD095" w:rsidR="003522C1" w:rsidRPr="003522C1" w:rsidRDefault="003522C1" w:rsidP="003522C1">
            <w:pPr>
              <w:jc w:val="both"/>
              <w:rPr>
                <w:b/>
              </w:rPr>
            </w:pPr>
            <w:r w:rsidRPr="003522C1">
              <w:rPr>
                <w:b/>
              </w:rPr>
              <w:t>2</w:t>
            </w:r>
          </w:p>
        </w:tc>
        <w:tc>
          <w:tcPr>
            <w:tcW w:w="2050" w:type="dxa"/>
          </w:tcPr>
          <w:p w14:paraId="46C591CC" w14:textId="0DD13833" w:rsidR="003522C1" w:rsidRPr="002D03E9" w:rsidRDefault="003522C1" w:rsidP="003522C1">
            <w:pPr>
              <w:jc w:val="both"/>
              <w:rPr>
                <w:b/>
              </w:rPr>
            </w:pPr>
            <w:r>
              <w:rPr>
                <w:b/>
              </w:rPr>
              <w:t>Luis Ayala</w:t>
            </w:r>
          </w:p>
        </w:tc>
        <w:tc>
          <w:tcPr>
            <w:tcW w:w="6030" w:type="dxa"/>
          </w:tcPr>
          <w:p w14:paraId="24771488" w14:textId="2E65C343" w:rsidR="003522C1" w:rsidRPr="002D03E9" w:rsidRDefault="003522C1" w:rsidP="003522C1">
            <w:pPr>
              <w:jc w:val="both"/>
              <w:rPr>
                <w:b/>
              </w:rPr>
            </w:pPr>
            <w:r w:rsidRPr="002D03E9">
              <w:rPr>
                <w:b/>
              </w:rPr>
              <w:t>Seremi de Minería</w:t>
            </w:r>
          </w:p>
        </w:tc>
        <w:tc>
          <w:tcPr>
            <w:tcW w:w="1276" w:type="dxa"/>
          </w:tcPr>
          <w:p w14:paraId="075B5B95" w14:textId="1100A6CD" w:rsidR="003522C1" w:rsidRPr="002D03E9" w:rsidRDefault="003522C1" w:rsidP="003522C1">
            <w:pPr>
              <w:jc w:val="both"/>
              <w:rPr>
                <w:b/>
              </w:rPr>
            </w:pPr>
            <w:r>
              <w:rPr>
                <w:b/>
              </w:rPr>
              <w:t>Si</w:t>
            </w:r>
          </w:p>
        </w:tc>
      </w:tr>
      <w:tr w:rsidR="003522C1" w:rsidRPr="002D03E9" w14:paraId="304B5BE1" w14:textId="77777777" w:rsidTr="00AA49DA">
        <w:tc>
          <w:tcPr>
            <w:tcW w:w="562" w:type="dxa"/>
          </w:tcPr>
          <w:p w14:paraId="49B11462" w14:textId="578DD904" w:rsidR="003522C1" w:rsidRPr="003522C1" w:rsidRDefault="003522C1" w:rsidP="003522C1">
            <w:pPr>
              <w:jc w:val="both"/>
              <w:rPr>
                <w:b/>
              </w:rPr>
            </w:pPr>
            <w:r w:rsidRPr="003522C1">
              <w:rPr>
                <w:b/>
              </w:rPr>
              <w:t>3</w:t>
            </w:r>
          </w:p>
        </w:tc>
        <w:tc>
          <w:tcPr>
            <w:tcW w:w="2050" w:type="dxa"/>
          </w:tcPr>
          <w:p w14:paraId="2967CF51" w14:textId="55C7A049" w:rsidR="003522C1" w:rsidRPr="002D03E9" w:rsidRDefault="003522C1" w:rsidP="003522C1">
            <w:pPr>
              <w:jc w:val="both"/>
              <w:rPr>
                <w:b/>
              </w:rPr>
            </w:pPr>
            <w:r>
              <w:rPr>
                <w:b/>
              </w:rPr>
              <w:t>Matías Muñoz Valdebenito</w:t>
            </w:r>
          </w:p>
        </w:tc>
        <w:tc>
          <w:tcPr>
            <w:tcW w:w="6030" w:type="dxa"/>
          </w:tcPr>
          <w:p w14:paraId="0E89167E" w14:textId="665CFC90" w:rsidR="003522C1" w:rsidRPr="002D03E9" w:rsidRDefault="003522C1" w:rsidP="003522C1">
            <w:pPr>
              <w:jc w:val="both"/>
              <w:rPr>
                <w:b/>
              </w:rPr>
            </w:pPr>
            <w:r>
              <w:rPr>
                <w:b/>
              </w:rPr>
              <w:t>Seremi de Economía</w:t>
            </w:r>
          </w:p>
        </w:tc>
        <w:tc>
          <w:tcPr>
            <w:tcW w:w="1276" w:type="dxa"/>
          </w:tcPr>
          <w:p w14:paraId="3C309EDD" w14:textId="18521DAC" w:rsidR="003522C1" w:rsidRPr="002D03E9" w:rsidRDefault="003522C1" w:rsidP="003522C1">
            <w:pPr>
              <w:jc w:val="both"/>
              <w:rPr>
                <w:b/>
              </w:rPr>
            </w:pPr>
            <w:r>
              <w:rPr>
                <w:b/>
              </w:rPr>
              <w:t>Si</w:t>
            </w:r>
          </w:p>
        </w:tc>
      </w:tr>
      <w:tr w:rsidR="003522C1" w:rsidRPr="002D03E9" w14:paraId="36CF07BF" w14:textId="77777777" w:rsidTr="00AA49DA">
        <w:tc>
          <w:tcPr>
            <w:tcW w:w="562" w:type="dxa"/>
          </w:tcPr>
          <w:p w14:paraId="0B63C37D" w14:textId="77CB5613" w:rsidR="003522C1" w:rsidRPr="003522C1" w:rsidRDefault="003522C1" w:rsidP="003522C1">
            <w:pPr>
              <w:jc w:val="both"/>
              <w:rPr>
                <w:b/>
              </w:rPr>
            </w:pPr>
            <w:r w:rsidRPr="003522C1">
              <w:rPr>
                <w:b/>
              </w:rPr>
              <w:t>4</w:t>
            </w:r>
          </w:p>
        </w:tc>
        <w:tc>
          <w:tcPr>
            <w:tcW w:w="2050" w:type="dxa"/>
          </w:tcPr>
          <w:p w14:paraId="0D4F4E48" w14:textId="7CAAE8E4" w:rsidR="003522C1" w:rsidRDefault="003522C1" w:rsidP="003522C1">
            <w:pPr>
              <w:jc w:val="both"/>
              <w:rPr>
                <w:b/>
                <w:bCs/>
              </w:rPr>
            </w:pPr>
            <w:r w:rsidRPr="002D03E9">
              <w:rPr>
                <w:b/>
              </w:rPr>
              <w:t xml:space="preserve">Dafne Pino </w:t>
            </w:r>
          </w:p>
        </w:tc>
        <w:tc>
          <w:tcPr>
            <w:tcW w:w="6030" w:type="dxa"/>
          </w:tcPr>
          <w:p w14:paraId="367AD8A7" w14:textId="4AA13B87" w:rsidR="003522C1" w:rsidRDefault="003522C1" w:rsidP="003522C1">
            <w:pPr>
              <w:jc w:val="both"/>
              <w:rPr>
                <w:b/>
                <w:bCs/>
              </w:rPr>
            </w:pPr>
            <w:r w:rsidRPr="002D03E9">
              <w:rPr>
                <w:b/>
              </w:rPr>
              <w:t xml:space="preserve">Seremi de </w:t>
            </w:r>
            <w:r>
              <w:rPr>
                <w:b/>
              </w:rPr>
              <w:t>Energía</w:t>
            </w:r>
          </w:p>
        </w:tc>
        <w:tc>
          <w:tcPr>
            <w:tcW w:w="1276" w:type="dxa"/>
          </w:tcPr>
          <w:p w14:paraId="21D656DC" w14:textId="22AECFCB" w:rsidR="003522C1" w:rsidRDefault="003522C1" w:rsidP="003522C1">
            <w:pPr>
              <w:jc w:val="both"/>
              <w:rPr>
                <w:b/>
              </w:rPr>
            </w:pPr>
            <w:r>
              <w:rPr>
                <w:b/>
              </w:rPr>
              <w:t>No</w:t>
            </w:r>
          </w:p>
        </w:tc>
      </w:tr>
      <w:tr w:rsidR="003522C1" w:rsidRPr="002D03E9" w14:paraId="4E7F3383" w14:textId="77777777" w:rsidTr="00AA49DA">
        <w:tc>
          <w:tcPr>
            <w:tcW w:w="562" w:type="dxa"/>
          </w:tcPr>
          <w:p w14:paraId="2DC3F789" w14:textId="6E44432E" w:rsidR="003522C1" w:rsidRPr="003522C1" w:rsidRDefault="00EA0A71" w:rsidP="003522C1">
            <w:pPr>
              <w:jc w:val="both"/>
              <w:rPr>
                <w:b/>
              </w:rPr>
            </w:pPr>
            <w:r>
              <w:rPr>
                <w:b/>
              </w:rPr>
              <w:t>5</w:t>
            </w:r>
          </w:p>
        </w:tc>
        <w:tc>
          <w:tcPr>
            <w:tcW w:w="2050" w:type="dxa"/>
          </w:tcPr>
          <w:p w14:paraId="51FC0E26" w14:textId="10CF68D8" w:rsidR="003522C1" w:rsidRPr="002D03E9" w:rsidRDefault="003522C1" w:rsidP="003522C1">
            <w:pPr>
              <w:jc w:val="both"/>
              <w:rPr>
                <w:b/>
                <w:bCs/>
              </w:rPr>
            </w:pPr>
            <w:r>
              <w:rPr>
                <w:b/>
                <w:bCs/>
              </w:rPr>
              <w:t>Jaime Henríquez</w:t>
            </w:r>
          </w:p>
        </w:tc>
        <w:tc>
          <w:tcPr>
            <w:tcW w:w="6030" w:type="dxa"/>
          </w:tcPr>
          <w:p w14:paraId="4DB7974E" w14:textId="299FD6AA" w:rsidR="003522C1" w:rsidRPr="002D03E9" w:rsidRDefault="003522C1" w:rsidP="003522C1">
            <w:pPr>
              <w:jc w:val="both"/>
              <w:rPr>
                <w:b/>
                <w:bCs/>
              </w:rPr>
            </w:pPr>
            <w:r>
              <w:rPr>
                <w:b/>
                <w:bCs/>
              </w:rPr>
              <w:t xml:space="preserve">Gerente Sustentabilidad FCAB </w:t>
            </w:r>
          </w:p>
        </w:tc>
        <w:tc>
          <w:tcPr>
            <w:tcW w:w="1276" w:type="dxa"/>
          </w:tcPr>
          <w:p w14:paraId="17345A77" w14:textId="5D5316FD" w:rsidR="003522C1" w:rsidRPr="002D03E9" w:rsidRDefault="003522C1" w:rsidP="003522C1">
            <w:pPr>
              <w:jc w:val="both"/>
              <w:rPr>
                <w:b/>
              </w:rPr>
            </w:pPr>
            <w:r>
              <w:rPr>
                <w:b/>
              </w:rPr>
              <w:t>Si</w:t>
            </w:r>
          </w:p>
        </w:tc>
      </w:tr>
      <w:tr w:rsidR="003522C1" w:rsidRPr="002D03E9" w14:paraId="123C74F6" w14:textId="77777777" w:rsidTr="00AA49DA">
        <w:tc>
          <w:tcPr>
            <w:tcW w:w="562" w:type="dxa"/>
          </w:tcPr>
          <w:p w14:paraId="095E3E51" w14:textId="524886A9" w:rsidR="003522C1" w:rsidRPr="002D03E9" w:rsidRDefault="00EA0A71" w:rsidP="003522C1">
            <w:pPr>
              <w:jc w:val="both"/>
              <w:rPr>
                <w:b/>
              </w:rPr>
            </w:pPr>
            <w:r>
              <w:rPr>
                <w:b/>
              </w:rPr>
              <w:t>6</w:t>
            </w:r>
          </w:p>
        </w:tc>
        <w:tc>
          <w:tcPr>
            <w:tcW w:w="2050" w:type="dxa"/>
          </w:tcPr>
          <w:p w14:paraId="7F89516F" w14:textId="7AC80C29" w:rsidR="003522C1" w:rsidRPr="002D03E9" w:rsidRDefault="00EA0A71" w:rsidP="003522C1">
            <w:pPr>
              <w:jc w:val="both"/>
              <w:rPr>
                <w:b/>
                <w:bCs/>
              </w:rPr>
            </w:pPr>
            <w:r>
              <w:rPr>
                <w:b/>
                <w:bCs/>
              </w:rPr>
              <w:t>Oscar Novoa</w:t>
            </w:r>
          </w:p>
        </w:tc>
        <w:tc>
          <w:tcPr>
            <w:tcW w:w="6030" w:type="dxa"/>
          </w:tcPr>
          <w:p w14:paraId="52060F60" w14:textId="42741CB1" w:rsidR="003522C1" w:rsidRPr="002D03E9" w:rsidRDefault="003522C1" w:rsidP="003522C1">
            <w:pPr>
              <w:jc w:val="both"/>
              <w:rPr>
                <w:b/>
                <w:bCs/>
              </w:rPr>
            </w:pPr>
            <w:r w:rsidRPr="002D03E9">
              <w:rPr>
                <w:b/>
                <w:bCs/>
              </w:rPr>
              <w:t>Representant</w:t>
            </w:r>
            <w:r>
              <w:rPr>
                <w:b/>
                <w:bCs/>
              </w:rPr>
              <w:t>e EPA</w:t>
            </w:r>
          </w:p>
        </w:tc>
        <w:tc>
          <w:tcPr>
            <w:tcW w:w="1276" w:type="dxa"/>
          </w:tcPr>
          <w:p w14:paraId="4D88C00C" w14:textId="59617EDD" w:rsidR="003522C1" w:rsidRPr="002D03E9" w:rsidRDefault="003522C1" w:rsidP="003522C1">
            <w:pPr>
              <w:jc w:val="both"/>
              <w:rPr>
                <w:b/>
              </w:rPr>
            </w:pPr>
            <w:r w:rsidRPr="002D03E9">
              <w:rPr>
                <w:b/>
              </w:rPr>
              <w:t>Si</w:t>
            </w:r>
          </w:p>
        </w:tc>
      </w:tr>
      <w:tr w:rsidR="003522C1" w:rsidRPr="002D03E9" w14:paraId="6A1DFB31" w14:textId="77777777" w:rsidTr="00AA49DA">
        <w:tc>
          <w:tcPr>
            <w:tcW w:w="562" w:type="dxa"/>
          </w:tcPr>
          <w:p w14:paraId="249100AF" w14:textId="3D308C77" w:rsidR="003522C1" w:rsidRPr="002D03E9" w:rsidRDefault="00EA0A71" w:rsidP="003522C1">
            <w:pPr>
              <w:jc w:val="both"/>
              <w:rPr>
                <w:b/>
              </w:rPr>
            </w:pPr>
            <w:r>
              <w:rPr>
                <w:b/>
              </w:rPr>
              <w:t>7</w:t>
            </w:r>
          </w:p>
        </w:tc>
        <w:tc>
          <w:tcPr>
            <w:tcW w:w="2050" w:type="dxa"/>
          </w:tcPr>
          <w:p w14:paraId="69D40121" w14:textId="77777777" w:rsidR="003522C1" w:rsidRPr="002D03E9" w:rsidRDefault="003522C1" w:rsidP="003522C1">
            <w:pPr>
              <w:jc w:val="both"/>
              <w:rPr>
                <w:b/>
              </w:rPr>
            </w:pPr>
            <w:r w:rsidRPr="002D03E9">
              <w:rPr>
                <w:b/>
              </w:rPr>
              <w:t>Felipe Alveal</w:t>
            </w:r>
          </w:p>
        </w:tc>
        <w:tc>
          <w:tcPr>
            <w:tcW w:w="6030" w:type="dxa"/>
          </w:tcPr>
          <w:p w14:paraId="053C3ABD" w14:textId="77777777" w:rsidR="003522C1" w:rsidRPr="002D03E9" w:rsidRDefault="003522C1" w:rsidP="003522C1">
            <w:pPr>
              <w:jc w:val="both"/>
              <w:rPr>
                <w:b/>
              </w:rPr>
            </w:pPr>
            <w:r w:rsidRPr="002D03E9">
              <w:rPr>
                <w:b/>
              </w:rPr>
              <w:t>Gerente Asuntos Públicos AMSA</w:t>
            </w:r>
          </w:p>
        </w:tc>
        <w:tc>
          <w:tcPr>
            <w:tcW w:w="1276" w:type="dxa"/>
          </w:tcPr>
          <w:p w14:paraId="72A61FC7" w14:textId="77777777" w:rsidR="003522C1" w:rsidRPr="002D03E9" w:rsidRDefault="003522C1" w:rsidP="003522C1">
            <w:pPr>
              <w:jc w:val="both"/>
              <w:rPr>
                <w:b/>
              </w:rPr>
            </w:pPr>
            <w:r w:rsidRPr="002D03E9">
              <w:rPr>
                <w:b/>
              </w:rPr>
              <w:t>Si</w:t>
            </w:r>
          </w:p>
        </w:tc>
      </w:tr>
      <w:tr w:rsidR="003522C1" w:rsidRPr="002D03E9" w14:paraId="634F543A" w14:textId="77777777" w:rsidTr="00AA49DA">
        <w:tc>
          <w:tcPr>
            <w:tcW w:w="562" w:type="dxa"/>
          </w:tcPr>
          <w:p w14:paraId="4CC81830" w14:textId="65B78A60" w:rsidR="003522C1" w:rsidRPr="003522C1" w:rsidRDefault="00EA0A71" w:rsidP="003522C1">
            <w:pPr>
              <w:jc w:val="both"/>
              <w:rPr>
                <w:b/>
              </w:rPr>
            </w:pPr>
            <w:r>
              <w:rPr>
                <w:b/>
              </w:rPr>
              <w:t>8</w:t>
            </w:r>
          </w:p>
        </w:tc>
        <w:tc>
          <w:tcPr>
            <w:tcW w:w="2050" w:type="dxa"/>
          </w:tcPr>
          <w:p w14:paraId="3354CF31" w14:textId="762B9384" w:rsidR="003522C1" w:rsidRPr="002D03E9" w:rsidRDefault="003522C1" w:rsidP="003522C1">
            <w:pPr>
              <w:jc w:val="both"/>
              <w:rPr>
                <w:b/>
              </w:rPr>
            </w:pPr>
            <w:r>
              <w:rPr>
                <w:b/>
              </w:rPr>
              <w:t>Gloria Cartagena</w:t>
            </w:r>
          </w:p>
        </w:tc>
        <w:tc>
          <w:tcPr>
            <w:tcW w:w="6030" w:type="dxa"/>
          </w:tcPr>
          <w:p w14:paraId="579D57E7" w14:textId="43702A7D" w:rsidR="003522C1" w:rsidRPr="002D03E9" w:rsidRDefault="003522C1" w:rsidP="003522C1">
            <w:pPr>
              <w:jc w:val="both"/>
              <w:rPr>
                <w:b/>
              </w:rPr>
            </w:pPr>
            <w:r>
              <w:rPr>
                <w:b/>
              </w:rPr>
              <w:t>Jefe de Asuntos Públicos SQM Yodo</w:t>
            </w:r>
          </w:p>
        </w:tc>
        <w:tc>
          <w:tcPr>
            <w:tcW w:w="1276" w:type="dxa"/>
          </w:tcPr>
          <w:p w14:paraId="4A420F3C" w14:textId="403047DC" w:rsidR="003522C1" w:rsidRPr="002D03E9" w:rsidRDefault="003522C1" w:rsidP="003522C1">
            <w:pPr>
              <w:jc w:val="both"/>
              <w:rPr>
                <w:b/>
              </w:rPr>
            </w:pPr>
            <w:r>
              <w:rPr>
                <w:b/>
              </w:rPr>
              <w:t>Si</w:t>
            </w:r>
          </w:p>
        </w:tc>
      </w:tr>
    </w:tbl>
    <w:p w14:paraId="17C1DB70" w14:textId="77777777" w:rsidR="002D03E9" w:rsidRPr="002D03E9" w:rsidRDefault="002D03E9" w:rsidP="002D03E9">
      <w:pPr>
        <w:jc w:val="both"/>
        <w:rPr>
          <w:rFonts w:eastAsia="Times New Roman"/>
          <w:b/>
          <w:color w:val="FF0000"/>
        </w:rPr>
      </w:pPr>
    </w:p>
    <w:p w14:paraId="030C09D2" w14:textId="1313394F" w:rsidR="002D03E9" w:rsidRPr="002D03E9" w:rsidRDefault="006F55A2" w:rsidP="002D03E9">
      <w:pPr>
        <w:jc w:val="both"/>
        <w:rPr>
          <w:rFonts w:eastAsia="Times New Roman"/>
          <w:b/>
        </w:rPr>
      </w:pPr>
      <w:r>
        <w:rPr>
          <w:rFonts w:eastAsia="Times New Roman"/>
          <w:b/>
        </w:rPr>
        <w:t xml:space="preserve">Subrogantes, </w:t>
      </w:r>
      <w:r w:rsidR="002D03E9" w:rsidRPr="002D03E9">
        <w:rPr>
          <w:rFonts w:eastAsia="Times New Roman"/>
          <w:b/>
        </w:rPr>
        <w:t xml:space="preserve">Acompañantes u otros </w:t>
      </w:r>
    </w:p>
    <w:tbl>
      <w:tblPr>
        <w:tblStyle w:val="Tablaconcuadrcula2"/>
        <w:tblW w:w="9918" w:type="dxa"/>
        <w:tblLook w:val="04A0" w:firstRow="1" w:lastRow="0" w:firstColumn="1" w:lastColumn="0" w:noHBand="0" w:noVBand="1"/>
      </w:tblPr>
      <w:tblGrid>
        <w:gridCol w:w="440"/>
        <w:gridCol w:w="2107"/>
        <w:gridCol w:w="6095"/>
        <w:gridCol w:w="1276"/>
      </w:tblGrid>
      <w:tr w:rsidR="002D03E9" w:rsidRPr="002D03E9" w14:paraId="37124B37" w14:textId="77777777" w:rsidTr="00EA0A71">
        <w:tc>
          <w:tcPr>
            <w:tcW w:w="440" w:type="dxa"/>
            <w:shd w:val="clear" w:color="auto" w:fill="auto"/>
          </w:tcPr>
          <w:p w14:paraId="58CB1D92" w14:textId="36DFE4F6" w:rsidR="002D03E9" w:rsidRPr="00EA0A71" w:rsidRDefault="002D03E9" w:rsidP="002D03E9">
            <w:pPr>
              <w:jc w:val="both"/>
              <w:rPr>
                <w:b/>
              </w:rPr>
            </w:pPr>
            <w:r w:rsidRPr="00EA0A71">
              <w:rPr>
                <w:b/>
              </w:rPr>
              <w:t>1</w:t>
            </w:r>
          </w:p>
        </w:tc>
        <w:tc>
          <w:tcPr>
            <w:tcW w:w="2107" w:type="dxa"/>
          </w:tcPr>
          <w:p w14:paraId="033A3CEA" w14:textId="246C536C" w:rsidR="002D03E9" w:rsidRPr="002D03E9" w:rsidRDefault="002D03E9" w:rsidP="002D03E9">
            <w:pPr>
              <w:jc w:val="both"/>
              <w:rPr>
                <w:b/>
              </w:rPr>
            </w:pPr>
            <w:r>
              <w:rPr>
                <w:b/>
              </w:rPr>
              <w:t>Gabriel Cruz</w:t>
            </w:r>
          </w:p>
        </w:tc>
        <w:tc>
          <w:tcPr>
            <w:tcW w:w="6095" w:type="dxa"/>
          </w:tcPr>
          <w:p w14:paraId="6C3F8C6F" w14:textId="39853141" w:rsidR="002D03E9" w:rsidRPr="002D03E9" w:rsidRDefault="002D03E9" w:rsidP="002D03E9">
            <w:pPr>
              <w:jc w:val="both"/>
              <w:rPr>
                <w:b/>
              </w:rPr>
            </w:pPr>
            <w:r w:rsidRPr="002D03E9">
              <w:rPr>
                <w:b/>
              </w:rPr>
              <w:t>Representante ADI Atacama La Grande</w:t>
            </w:r>
            <w:r>
              <w:rPr>
                <w:b/>
              </w:rPr>
              <w:t xml:space="preserve"> (s)</w:t>
            </w:r>
          </w:p>
        </w:tc>
        <w:tc>
          <w:tcPr>
            <w:tcW w:w="1276" w:type="dxa"/>
          </w:tcPr>
          <w:p w14:paraId="5CFB7DB4" w14:textId="57B787C1" w:rsidR="002D03E9" w:rsidRPr="002D03E9" w:rsidRDefault="002D03E9" w:rsidP="002D03E9">
            <w:pPr>
              <w:jc w:val="both"/>
              <w:rPr>
                <w:b/>
              </w:rPr>
            </w:pPr>
            <w:r>
              <w:rPr>
                <w:b/>
              </w:rPr>
              <w:t>Si</w:t>
            </w:r>
          </w:p>
        </w:tc>
      </w:tr>
      <w:tr w:rsidR="0083360A" w:rsidRPr="002D03E9" w14:paraId="663B5B12" w14:textId="77777777" w:rsidTr="00EA0A71">
        <w:tc>
          <w:tcPr>
            <w:tcW w:w="440" w:type="dxa"/>
            <w:shd w:val="clear" w:color="auto" w:fill="auto"/>
          </w:tcPr>
          <w:p w14:paraId="73D075AC" w14:textId="51AF7E15" w:rsidR="0083360A" w:rsidRPr="00EA0A71" w:rsidRDefault="0083360A" w:rsidP="002D03E9">
            <w:pPr>
              <w:jc w:val="both"/>
              <w:rPr>
                <w:b/>
              </w:rPr>
            </w:pPr>
            <w:r w:rsidRPr="00EA0A71">
              <w:rPr>
                <w:b/>
              </w:rPr>
              <w:t>2</w:t>
            </w:r>
          </w:p>
        </w:tc>
        <w:tc>
          <w:tcPr>
            <w:tcW w:w="2107" w:type="dxa"/>
          </w:tcPr>
          <w:p w14:paraId="1F3F43B8" w14:textId="13CA02BE" w:rsidR="0083360A" w:rsidRPr="002D03E9" w:rsidRDefault="0083360A" w:rsidP="002D03E9">
            <w:pPr>
              <w:jc w:val="both"/>
              <w:rPr>
                <w:b/>
              </w:rPr>
            </w:pPr>
            <w:r>
              <w:rPr>
                <w:b/>
              </w:rPr>
              <w:t xml:space="preserve">Alexis </w:t>
            </w:r>
            <w:r w:rsidR="003522C1">
              <w:rPr>
                <w:b/>
              </w:rPr>
              <w:t>Ávila</w:t>
            </w:r>
          </w:p>
        </w:tc>
        <w:tc>
          <w:tcPr>
            <w:tcW w:w="6095" w:type="dxa"/>
          </w:tcPr>
          <w:p w14:paraId="5915A39D" w14:textId="38BABB2F" w:rsidR="0083360A" w:rsidRPr="002D03E9" w:rsidRDefault="0083360A" w:rsidP="002D03E9">
            <w:pPr>
              <w:jc w:val="both"/>
              <w:rPr>
                <w:b/>
              </w:rPr>
            </w:pPr>
            <w:r>
              <w:rPr>
                <w:b/>
              </w:rPr>
              <w:t xml:space="preserve">Apoyo Seremi </w:t>
            </w:r>
            <w:r w:rsidR="003522C1">
              <w:rPr>
                <w:b/>
              </w:rPr>
              <w:t>Economía</w:t>
            </w:r>
          </w:p>
        </w:tc>
        <w:tc>
          <w:tcPr>
            <w:tcW w:w="1276" w:type="dxa"/>
          </w:tcPr>
          <w:p w14:paraId="2E329999" w14:textId="4B9FEF63" w:rsidR="0083360A" w:rsidRPr="002D03E9" w:rsidRDefault="0083360A" w:rsidP="002D03E9">
            <w:pPr>
              <w:jc w:val="both"/>
              <w:rPr>
                <w:b/>
              </w:rPr>
            </w:pPr>
            <w:r>
              <w:rPr>
                <w:b/>
              </w:rPr>
              <w:t>Si</w:t>
            </w:r>
          </w:p>
        </w:tc>
      </w:tr>
      <w:tr w:rsidR="003522C1" w:rsidRPr="002D03E9" w14:paraId="219D719A" w14:textId="77777777" w:rsidTr="00EA0A71">
        <w:tc>
          <w:tcPr>
            <w:tcW w:w="440" w:type="dxa"/>
            <w:shd w:val="clear" w:color="auto" w:fill="auto"/>
          </w:tcPr>
          <w:p w14:paraId="7CCB8416" w14:textId="588A2CA8" w:rsidR="003522C1" w:rsidRPr="00EA0A71" w:rsidRDefault="003522C1" w:rsidP="002D03E9">
            <w:pPr>
              <w:jc w:val="both"/>
              <w:rPr>
                <w:b/>
              </w:rPr>
            </w:pPr>
            <w:r w:rsidRPr="00EA0A71">
              <w:rPr>
                <w:b/>
              </w:rPr>
              <w:t>3</w:t>
            </w:r>
          </w:p>
        </w:tc>
        <w:tc>
          <w:tcPr>
            <w:tcW w:w="2107" w:type="dxa"/>
          </w:tcPr>
          <w:p w14:paraId="26973E66" w14:textId="563E0743" w:rsidR="003522C1" w:rsidRPr="002D03E9" w:rsidRDefault="003522C1" w:rsidP="002D03E9">
            <w:pPr>
              <w:jc w:val="both"/>
              <w:rPr>
                <w:b/>
              </w:rPr>
            </w:pPr>
            <w:r>
              <w:rPr>
                <w:b/>
              </w:rPr>
              <w:t>Jorge Mora</w:t>
            </w:r>
          </w:p>
        </w:tc>
        <w:tc>
          <w:tcPr>
            <w:tcW w:w="6095" w:type="dxa"/>
          </w:tcPr>
          <w:p w14:paraId="13419305" w14:textId="1ED42D3A" w:rsidR="003522C1" w:rsidRPr="002D03E9" w:rsidRDefault="003522C1" w:rsidP="002D03E9">
            <w:pPr>
              <w:jc w:val="both"/>
              <w:rPr>
                <w:b/>
              </w:rPr>
            </w:pPr>
            <w:r>
              <w:rPr>
                <w:b/>
              </w:rPr>
              <w:t>Arquitecto FCAB</w:t>
            </w:r>
          </w:p>
        </w:tc>
        <w:tc>
          <w:tcPr>
            <w:tcW w:w="1276" w:type="dxa"/>
          </w:tcPr>
          <w:p w14:paraId="55B1D0A0" w14:textId="0C168F75" w:rsidR="003522C1" w:rsidRPr="002D03E9" w:rsidRDefault="003522C1" w:rsidP="002D03E9">
            <w:pPr>
              <w:jc w:val="both"/>
              <w:rPr>
                <w:b/>
              </w:rPr>
            </w:pPr>
            <w:r>
              <w:rPr>
                <w:b/>
              </w:rPr>
              <w:t>Si</w:t>
            </w:r>
          </w:p>
        </w:tc>
      </w:tr>
      <w:tr w:rsidR="003522C1" w:rsidRPr="002D03E9" w14:paraId="64045918" w14:textId="77777777" w:rsidTr="00EA0A71">
        <w:tc>
          <w:tcPr>
            <w:tcW w:w="440" w:type="dxa"/>
            <w:shd w:val="clear" w:color="auto" w:fill="auto"/>
          </w:tcPr>
          <w:p w14:paraId="58853D2D" w14:textId="4C4DA4BA" w:rsidR="003522C1" w:rsidRPr="00EA0A71" w:rsidRDefault="003522C1" w:rsidP="002D03E9">
            <w:pPr>
              <w:jc w:val="both"/>
              <w:rPr>
                <w:b/>
              </w:rPr>
            </w:pPr>
            <w:r w:rsidRPr="00EA0A71">
              <w:rPr>
                <w:b/>
              </w:rPr>
              <w:t>4</w:t>
            </w:r>
          </w:p>
        </w:tc>
        <w:tc>
          <w:tcPr>
            <w:tcW w:w="2107" w:type="dxa"/>
          </w:tcPr>
          <w:p w14:paraId="0A88D5B8" w14:textId="49AA70DA" w:rsidR="003522C1" w:rsidRPr="002D03E9" w:rsidRDefault="003522C1" w:rsidP="002D03E9">
            <w:pPr>
              <w:jc w:val="both"/>
              <w:rPr>
                <w:b/>
              </w:rPr>
            </w:pPr>
            <w:r>
              <w:rPr>
                <w:b/>
              </w:rPr>
              <w:t>Catalina Salgado</w:t>
            </w:r>
          </w:p>
        </w:tc>
        <w:tc>
          <w:tcPr>
            <w:tcW w:w="6095" w:type="dxa"/>
          </w:tcPr>
          <w:p w14:paraId="3E7BBCAD" w14:textId="12CCA70C" w:rsidR="003522C1" w:rsidRPr="002D03E9" w:rsidRDefault="003522C1" w:rsidP="002D03E9">
            <w:pPr>
              <w:jc w:val="both"/>
              <w:rPr>
                <w:b/>
              </w:rPr>
            </w:pPr>
            <w:r>
              <w:rPr>
                <w:b/>
              </w:rPr>
              <w:t>Apoyo IPP - UCN</w:t>
            </w:r>
          </w:p>
        </w:tc>
        <w:tc>
          <w:tcPr>
            <w:tcW w:w="1276" w:type="dxa"/>
          </w:tcPr>
          <w:p w14:paraId="2C02019B" w14:textId="0A507964" w:rsidR="003522C1" w:rsidRPr="002D03E9" w:rsidRDefault="003522C1" w:rsidP="002D03E9">
            <w:pPr>
              <w:jc w:val="both"/>
              <w:rPr>
                <w:b/>
              </w:rPr>
            </w:pPr>
            <w:r>
              <w:rPr>
                <w:b/>
              </w:rPr>
              <w:t>Si</w:t>
            </w:r>
          </w:p>
        </w:tc>
      </w:tr>
      <w:tr w:rsidR="002D03E9" w:rsidRPr="002D03E9" w14:paraId="6B12013B" w14:textId="77777777" w:rsidTr="00EA0A71">
        <w:tc>
          <w:tcPr>
            <w:tcW w:w="440" w:type="dxa"/>
            <w:shd w:val="clear" w:color="auto" w:fill="auto"/>
          </w:tcPr>
          <w:p w14:paraId="126864EC" w14:textId="46EFA975" w:rsidR="002D03E9" w:rsidRPr="002D03E9" w:rsidRDefault="003522C1" w:rsidP="002D03E9">
            <w:pPr>
              <w:jc w:val="both"/>
              <w:rPr>
                <w:b/>
              </w:rPr>
            </w:pPr>
            <w:r w:rsidRPr="00EA0A71">
              <w:rPr>
                <w:b/>
              </w:rPr>
              <w:t>5</w:t>
            </w:r>
          </w:p>
        </w:tc>
        <w:tc>
          <w:tcPr>
            <w:tcW w:w="2107" w:type="dxa"/>
          </w:tcPr>
          <w:p w14:paraId="49F46F66" w14:textId="77777777" w:rsidR="002D03E9" w:rsidRPr="002D03E9" w:rsidRDefault="002D03E9" w:rsidP="002D03E9">
            <w:pPr>
              <w:jc w:val="both"/>
              <w:rPr>
                <w:b/>
              </w:rPr>
            </w:pPr>
            <w:r w:rsidRPr="002D03E9">
              <w:rPr>
                <w:b/>
              </w:rPr>
              <w:t>Julio Cerna</w:t>
            </w:r>
          </w:p>
        </w:tc>
        <w:tc>
          <w:tcPr>
            <w:tcW w:w="6095" w:type="dxa"/>
          </w:tcPr>
          <w:p w14:paraId="416288B3" w14:textId="5118A7BD" w:rsidR="002D03E9" w:rsidRPr="002D03E9" w:rsidRDefault="002D03E9" w:rsidP="002D03E9">
            <w:pPr>
              <w:jc w:val="both"/>
              <w:rPr>
                <w:b/>
              </w:rPr>
            </w:pPr>
            <w:r w:rsidRPr="002D03E9">
              <w:rPr>
                <w:b/>
              </w:rPr>
              <w:t xml:space="preserve">Primer </w:t>
            </w:r>
            <w:r w:rsidR="003522C1" w:rsidRPr="002D03E9">
              <w:rPr>
                <w:b/>
              </w:rPr>
              <w:t>vicepresidente</w:t>
            </w:r>
            <w:r w:rsidRPr="002D03E9">
              <w:rPr>
                <w:b/>
              </w:rPr>
              <w:t xml:space="preserve"> AIA</w:t>
            </w:r>
          </w:p>
        </w:tc>
        <w:tc>
          <w:tcPr>
            <w:tcW w:w="1276" w:type="dxa"/>
          </w:tcPr>
          <w:p w14:paraId="7C232366" w14:textId="77777777" w:rsidR="002D03E9" w:rsidRPr="002D03E9" w:rsidRDefault="002D03E9" w:rsidP="002D03E9">
            <w:pPr>
              <w:jc w:val="both"/>
              <w:rPr>
                <w:b/>
              </w:rPr>
            </w:pPr>
            <w:r w:rsidRPr="002D03E9">
              <w:rPr>
                <w:b/>
              </w:rPr>
              <w:t>Si</w:t>
            </w:r>
          </w:p>
        </w:tc>
      </w:tr>
      <w:tr w:rsidR="002D03E9" w:rsidRPr="002D03E9" w14:paraId="7CD18609" w14:textId="77777777" w:rsidTr="00EA0A71">
        <w:tc>
          <w:tcPr>
            <w:tcW w:w="440" w:type="dxa"/>
            <w:shd w:val="clear" w:color="auto" w:fill="auto"/>
          </w:tcPr>
          <w:p w14:paraId="6E67696D" w14:textId="31F09D83" w:rsidR="002D03E9" w:rsidRPr="002D03E9" w:rsidRDefault="003522C1" w:rsidP="002D03E9">
            <w:pPr>
              <w:jc w:val="both"/>
              <w:rPr>
                <w:b/>
              </w:rPr>
            </w:pPr>
            <w:r w:rsidRPr="00EA0A71">
              <w:rPr>
                <w:b/>
              </w:rPr>
              <w:t>6</w:t>
            </w:r>
          </w:p>
        </w:tc>
        <w:tc>
          <w:tcPr>
            <w:tcW w:w="2107" w:type="dxa"/>
          </w:tcPr>
          <w:p w14:paraId="10445E2E" w14:textId="73BFEFFC" w:rsidR="002D03E9" w:rsidRPr="002D03E9" w:rsidRDefault="0083360A" w:rsidP="002D03E9">
            <w:pPr>
              <w:jc w:val="both"/>
              <w:rPr>
                <w:b/>
              </w:rPr>
            </w:pPr>
            <w:r>
              <w:rPr>
                <w:b/>
              </w:rPr>
              <w:t>Jorge Maturana</w:t>
            </w:r>
          </w:p>
        </w:tc>
        <w:tc>
          <w:tcPr>
            <w:tcW w:w="6095" w:type="dxa"/>
          </w:tcPr>
          <w:p w14:paraId="29DDCDA0" w14:textId="00925BB4" w:rsidR="002D03E9" w:rsidRPr="002D03E9" w:rsidRDefault="002D03E9" w:rsidP="002D03E9">
            <w:pPr>
              <w:jc w:val="both"/>
              <w:rPr>
                <w:b/>
              </w:rPr>
            </w:pPr>
            <w:r w:rsidRPr="002D03E9">
              <w:rPr>
                <w:b/>
              </w:rPr>
              <w:t xml:space="preserve">Presidenta CCHC </w:t>
            </w:r>
            <w:r w:rsidR="0083360A">
              <w:rPr>
                <w:b/>
              </w:rPr>
              <w:t>Antofagasta</w:t>
            </w:r>
          </w:p>
        </w:tc>
        <w:tc>
          <w:tcPr>
            <w:tcW w:w="1276" w:type="dxa"/>
          </w:tcPr>
          <w:p w14:paraId="3D262E78" w14:textId="77777777" w:rsidR="002D03E9" w:rsidRPr="002D03E9" w:rsidRDefault="002D03E9" w:rsidP="002D03E9">
            <w:pPr>
              <w:jc w:val="both"/>
              <w:rPr>
                <w:b/>
              </w:rPr>
            </w:pPr>
            <w:r w:rsidRPr="002D03E9">
              <w:rPr>
                <w:b/>
              </w:rPr>
              <w:t>Si</w:t>
            </w:r>
          </w:p>
        </w:tc>
      </w:tr>
      <w:tr w:rsidR="002D03E9" w:rsidRPr="002D03E9" w14:paraId="287CBF70" w14:textId="77777777" w:rsidTr="00EA0A71">
        <w:tc>
          <w:tcPr>
            <w:tcW w:w="440" w:type="dxa"/>
            <w:shd w:val="clear" w:color="auto" w:fill="auto"/>
          </w:tcPr>
          <w:p w14:paraId="5EE82912" w14:textId="34784DC1" w:rsidR="002D03E9" w:rsidRPr="002D03E9" w:rsidRDefault="003522C1" w:rsidP="002D03E9">
            <w:pPr>
              <w:jc w:val="both"/>
              <w:rPr>
                <w:b/>
              </w:rPr>
            </w:pPr>
            <w:r w:rsidRPr="00EA0A71">
              <w:rPr>
                <w:b/>
              </w:rPr>
              <w:t>7</w:t>
            </w:r>
          </w:p>
        </w:tc>
        <w:tc>
          <w:tcPr>
            <w:tcW w:w="2107" w:type="dxa"/>
          </w:tcPr>
          <w:p w14:paraId="0B7C8ADB" w14:textId="77777777" w:rsidR="002D03E9" w:rsidRPr="002D03E9" w:rsidRDefault="002D03E9" w:rsidP="002D03E9">
            <w:pPr>
              <w:jc w:val="both"/>
              <w:rPr>
                <w:b/>
              </w:rPr>
            </w:pPr>
            <w:r w:rsidRPr="002D03E9">
              <w:rPr>
                <w:b/>
              </w:rPr>
              <w:t>Eduardo Torres</w:t>
            </w:r>
          </w:p>
        </w:tc>
        <w:tc>
          <w:tcPr>
            <w:tcW w:w="6095" w:type="dxa"/>
          </w:tcPr>
          <w:p w14:paraId="43E7BBF0" w14:textId="77777777" w:rsidR="002D03E9" w:rsidRPr="002D03E9" w:rsidRDefault="002D03E9" w:rsidP="002D03E9">
            <w:pPr>
              <w:jc w:val="both"/>
              <w:rPr>
                <w:b/>
              </w:rPr>
            </w:pPr>
            <w:r w:rsidRPr="002D03E9">
              <w:rPr>
                <w:b/>
              </w:rPr>
              <w:t>Profesional SEREMIA Minería</w:t>
            </w:r>
          </w:p>
        </w:tc>
        <w:tc>
          <w:tcPr>
            <w:tcW w:w="1276" w:type="dxa"/>
          </w:tcPr>
          <w:p w14:paraId="2C21D1DC" w14:textId="77777777" w:rsidR="002D03E9" w:rsidRPr="002D03E9" w:rsidRDefault="002D03E9" w:rsidP="002D03E9">
            <w:pPr>
              <w:jc w:val="both"/>
              <w:rPr>
                <w:b/>
              </w:rPr>
            </w:pPr>
            <w:r w:rsidRPr="002D03E9">
              <w:rPr>
                <w:b/>
              </w:rPr>
              <w:t>Si</w:t>
            </w:r>
          </w:p>
        </w:tc>
      </w:tr>
      <w:tr w:rsidR="002D03E9" w:rsidRPr="002D03E9" w14:paraId="2C121DB1" w14:textId="77777777" w:rsidTr="00EA0A71">
        <w:tc>
          <w:tcPr>
            <w:tcW w:w="440" w:type="dxa"/>
            <w:shd w:val="clear" w:color="auto" w:fill="auto"/>
          </w:tcPr>
          <w:p w14:paraId="54C8EF59" w14:textId="37289101" w:rsidR="002D03E9" w:rsidRPr="002D03E9" w:rsidRDefault="003522C1" w:rsidP="002D03E9">
            <w:pPr>
              <w:jc w:val="both"/>
              <w:rPr>
                <w:b/>
              </w:rPr>
            </w:pPr>
            <w:r w:rsidRPr="00EA0A71">
              <w:rPr>
                <w:b/>
              </w:rPr>
              <w:t>8</w:t>
            </w:r>
          </w:p>
        </w:tc>
        <w:tc>
          <w:tcPr>
            <w:tcW w:w="2107" w:type="dxa"/>
          </w:tcPr>
          <w:p w14:paraId="3B9303FF" w14:textId="77777777" w:rsidR="002D03E9" w:rsidRPr="002D03E9" w:rsidRDefault="002D03E9" w:rsidP="002D03E9">
            <w:pPr>
              <w:jc w:val="both"/>
              <w:rPr>
                <w:b/>
              </w:rPr>
            </w:pPr>
            <w:r w:rsidRPr="002D03E9">
              <w:rPr>
                <w:b/>
              </w:rPr>
              <w:t>Mercedes Álvarez</w:t>
            </w:r>
          </w:p>
        </w:tc>
        <w:tc>
          <w:tcPr>
            <w:tcW w:w="6095" w:type="dxa"/>
          </w:tcPr>
          <w:p w14:paraId="120D1F3D" w14:textId="77777777" w:rsidR="002D03E9" w:rsidRPr="002D03E9" w:rsidRDefault="002D03E9" w:rsidP="002D03E9">
            <w:pPr>
              <w:jc w:val="both"/>
              <w:rPr>
                <w:b/>
              </w:rPr>
            </w:pPr>
            <w:r w:rsidRPr="002D03E9">
              <w:rPr>
                <w:b/>
              </w:rPr>
              <w:t>Jefa DIFOI GORE</w:t>
            </w:r>
          </w:p>
        </w:tc>
        <w:tc>
          <w:tcPr>
            <w:tcW w:w="1276" w:type="dxa"/>
          </w:tcPr>
          <w:p w14:paraId="1C741338" w14:textId="77777777" w:rsidR="002D03E9" w:rsidRPr="002D03E9" w:rsidRDefault="002D03E9" w:rsidP="002D03E9">
            <w:pPr>
              <w:jc w:val="both"/>
              <w:rPr>
                <w:b/>
              </w:rPr>
            </w:pPr>
            <w:r w:rsidRPr="002D03E9">
              <w:rPr>
                <w:b/>
              </w:rPr>
              <w:t>Si</w:t>
            </w:r>
          </w:p>
        </w:tc>
      </w:tr>
      <w:tr w:rsidR="003522C1" w:rsidRPr="002D03E9" w14:paraId="17948485" w14:textId="77777777" w:rsidTr="00EA0A71">
        <w:tc>
          <w:tcPr>
            <w:tcW w:w="440" w:type="dxa"/>
            <w:shd w:val="clear" w:color="auto" w:fill="auto"/>
          </w:tcPr>
          <w:p w14:paraId="1F8F0570" w14:textId="4E67E7BB" w:rsidR="003522C1" w:rsidRPr="00EA0A71" w:rsidRDefault="003522C1" w:rsidP="002D03E9">
            <w:pPr>
              <w:jc w:val="both"/>
              <w:rPr>
                <w:b/>
              </w:rPr>
            </w:pPr>
            <w:r w:rsidRPr="00EA0A71">
              <w:rPr>
                <w:b/>
              </w:rPr>
              <w:t>9</w:t>
            </w:r>
          </w:p>
        </w:tc>
        <w:tc>
          <w:tcPr>
            <w:tcW w:w="2107" w:type="dxa"/>
          </w:tcPr>
          <w:p w14:paraId="4CD04FC9" w14:textId="589D2223" w:rsidR="003522C1" w:rsidRPr="002D03E9" w:rsidRDefault="003522C1" w:rsidP="002D03E9">
            <w:pPr>
              <w:jc w:val="both"/>
              <w:rPr>
                <w:b/>
              </w:rPr>
            </w:pPr>
            <w:r>
              <w:rPr>
                <w:b/>
              </w:rPr>
              <w:t>María Cecilia Vilches</w:t>
            </w:r>
          </w:p>
        </w:tc>
        <w:tc>
          <w:tcPr>
            <w:tcW w:w="6095" w:type="dxa"/>
          </w:tcPr>
          <w:p w14:paraId="6E91B167" w14:textId="2CD0100C" w:rsidR="003522C1" w:rsidRPr="002D03E9" w:rsidRDefault="003522C1" w:rsidP="002D03E9">
            <w:pPr>
              <w:jc w:val="both"/>
              <w:rPr>
                <w:b/>
              </w:rPr>
            </w:pPr>
            <w:r>
              <w:rPr>
                <w:b/>
              </w:rPr>
              <w:t>Profesional DIFOI</w:t>
            </w:r>
          </w:p>
        </w:tc>
        <w:tc>
          <w:tcPr>
            <w:tcW w:w="1276" w:type="dxa"/>
          </w:tcPr>
          <w:p w14:paraId="664F9F06" w14:textId="1E0B2D1B" w:rsidR="003522C1" w:rsidRPr="002D03E9" w:rsidRDefault="003522C1" w:rsidP="002D03E9">
            <w:pPr>
              <w:jc w:val="both"/>
              <w:rPr>
                <w:b/>
              </w:rPr>
            </w:pPr>
            <w:r>
              <w:rPr>
                <w:b/>
              </w:rPr>
              <w:t>Si</w:t>
            </w:r>
          </w:p>
        </w:tc>
      </w:tr>
      <w:tr w:rsidR="003522C1" w:rsidRPr="002D03E9" w14:paraId="33BF754F" w14:textId="77777777" w:rsidTr="00EA0A71">
        <w:tc>
          <w:tcPr>
            <w:tcW w:w="440" w:type="dxa"/>
            <w:shd w:val="clear" w:color="auto" w:fill="auto"/>
          </w:tcPr>
          <w:p w14:paraId="6DC8B1B5" w14:textId="29A9EF2E" w:rsidR="003522C1" w:rsidRPr="00EA0A71" w:rsidRDefault="003522C1" w:rsidP="002D03E9">
            <w:pPr>
              <w:jc w:val="both"/>
              <w:rPr>
                <w:b/>
              </w:rPr>
            </w:pPr>
            <w:r w:rsidRPr="00EA0A71">
              <w:rPr>
                <w:b/>
              </w:rPr>
              <w:t>10</w:t>
            </w:r>
          </w:p>
        </w:tc>
        <w:tc>
          <w:tcPr>
            <w:tcW w:w="2107" w:type="dxa"/>
          </w:tcPr>
          <w:p w14:paraId="475665FD" w14:textId="1C36D076" w:rsidR="003522C1" w:rsidRDefault="003522C1" w:rsidP="002D03E9">
            <w:pPr>
              <w:jc w:val="both"/>
              <w:rPr>
                <w:b/>
              </w:rPr>
            </w:pPr>
            <w:r>
              <w:rPr>
                <w:b/>
              </w:rPr>
              <w:t>Caterina Wilson</w:t>
            </w:r>
          </w:p>
        </w:tc>
        <w:tc>
          <w:tcPr>
            <w:tcW w:w="6095" w:type="dxa"/>
          </w:tcPr>
          <w:p w14:paraId="589370DA" w14:textId="530438CE" w:rsidR="003522C1" w:rsidRDefault="003522C1" w:rsidP="002D03E9">
            <w:pPr>
              <w:jc w:val="both"/>
              <w:rPr>
                <w:b/>
              </w:rPr>
            </w:pPr>
            <w:r>
              <w:rPr>
                <w:b/>
              </w:rPr>
              <w:t>Coordinadora de Proyectos CCMRA</w:t>
            </w:r>
          </w:p>
        </w:tc>
        <w:tc>
          <w:tcPr>
            <w:tcW w:w="1276" w:type="dxa"/>
          </w:tcPr>
          <w:p w14:paraId="2B5D4226" w14:textId="48C481ED" w:rsidR="003522C1" w:rsidRDefault="003522C1" w:rsidP="002D03E9">
            <w:pPr>
              <w:jc w:val="both"/>
              <w:rPr>
                <w:b/>
              </w:rPr>
            </w:pPr>
            <w:r>
              <w:rPr>
                <w:b/>
              </w:rPr>
              <w:t>Si</w:t>
            </w:r>
          </w:p>
        </w:tc>
      </w:tr>
      <w:tr w:rsidR="003522C1" w:rsidRPr="002D03E9" w14:paraId="26C07E54" w14:textId="77777777" w:rsidTr="00EA0A71">
        <w:tc>
          <w:tcPr>
            <w:tcW w:w="440" w:type="dxa"/>
            <w:shd w:val="clear" w:color="auto" w:fill="auto"/>
          </w:tcPr>
          <w:p w14:paraId="58B37B9B" w14:textId="589EC238" w:rsidR="003522C1" w:rsidRPr="00EA0A71" w:rsidRDefault="003522C1" w:rsidP="003522C1">
            <w:pPr>
              <w:jc w:val="both"/>
              <w:rPr>
                <w:b/>
              </w:rPr>
            </w:pPr>
            <w:r w:rsidRPr="00EA0A71">
              <w:rPr>
                <w:b/>
              </w:rPr>
              <w:t>11</w:t>
            </w:r>
          </w:p>
        </w:tc>
        <w:tc>
          <w:tcPr>
            <w:tcW w:w="2107" w:type="dxa"/>
          </w:tcPr>
          <w:p w14:paraId="7899C458" w14:textId="193D9F3B" w:rsidR="003522C1" w:rsidRDefault="003522C1" w:rsidP="003522C1">
            <w:pPr>
              <w:jc w:val="both"/>
              <w:rPr>
                <w:b/>
              </w:rPr>
            </w:pPr>
            <w:r>
              <w:rPr>
                <w:b/>
              </w:rPr>
              <w:t>Robert Watson</w:t>
            </w:r>
          </w:p>
        </w:tc>
        <w:tc>
          <w:tcPr>
            <w:tcW w:w="6095" w:type="dxa"/>
          </w:tcPr>
          <w:p w14:paraId="3E0E5868" w14:textId="6C126416" w:rsidR="003522C1" w:rsidRDefault="003522C1" w:rsidP="003522C1">
            <w:pPr>
              <w:jc w:val="both"/>
              <w:rPr>
                <w:b/>
              </w:rPr>
            </w:pPr>
            <w:r>
              <w:rPr>
                <w:b/>
              </w:rPr>
              <w:t>Ingeniero de Proyectos CCMRA</w:t>
            </w:r>
          </w:p>
        </w:tc>
        <w:tc>
          <w:tcPr>
            <w:tcW w:w="1276" w:type="dxa"/>
          </w:tcPr>
          <w:p w14:paraId="4762721C" w14:textId="62FA2D99" w:rsidR="003522C1" w:rsidRDefault="003522C1" w:rsidP="003522C1">
            <w:pPr>
              <w:jc w:val="both"/>
              <w:rPr>
                <w:b/>
              </w:rPr>
            </w:pPr>
            <w:r>
              <w:rPr>
                <w:b/>
              </w:rPr>
              <w:t>Si</w:t>
            </w:r>
          </w:p>
        </w:tc>
      </w:tr>
    </w:tbl>
    <w:p w14:paraId="0A061044" w14:textId="77777777" w:rsidR="00B52437" w:rsidRDefault="00B52437">
      <w:pPr>
        <w:jc w:val="both"/>
      </w:pPr>
    </w:p>
    <w:p w14:paraId="0B4DE929" w14:textId="77777777" w:rsidR="0006414C" w:rsidRDefault="00812593">
      <w:pPr>
        <w:shd w:val="clear" w:color="auto" w:fill="D9E2F3"/>
        <w:ind w:left="1416" w:hanging="1416"/>
        <w:jc w:val="both"/>
        <w:rPr>
          <w:b/>
        </w:rPr>
      </w:pPr>
      <w:r>
        <w:rPr>
          <w:b/>
        </w:rPr>
        <w:t xml:space="preserve">TABLA DE LA SESIÓN:  </w:t>
      </w:r>
    </w:p>
    <w:p w14:paraId="46F67BB9" w14:textId="77777777" w:rsidR="0006414C" w:rsidRDefault="00812593">
      <w:pPr>
        <w:numPr>
          <w:ilvl w:val="0"/>
          <w:numId w:val="1"/>
        </w:numPr>
        <w:pBdr>
          <w:top w:val="nil"/>
          <w:left w:val="nil"/>
          <w:bottom w:val="nil"/>
          <w:right w:val="nil"/>
          <w:between w:val="nil"/>
        </w:pBdr>
        <w:spacing w:after="0"/>
        <w:jc w:val="both"/>
        <w:rPr>
          <w:color w:val="000000"/>
        </w:rPr>
      </w:pPr>
      <w:bookmarkStart w:id="2" w:name="_heading=h.gjdgxs" w:colFirst="0" w:colLast="0"/>
      <w:bookmarkEnd w:id="2"/>
      <w:r>
        <w:rPr>
          <w:color w:val="000000"/>
        </w:rPr>
        <w:t>Palabras de Bienvenida</w:t>
      </w:r>
    </w:p>
    <w:p w14:paraId="78F53A07" w14:textId="77777777" w:rsidR="0006414C" w:rsidRDefault="00812593">
      <w:pPr>
        <w:numPr>
          <w:ilvl w:val="0"/>
          <w:numId w:val="1"/>
        </w:numPr>
        <w:pBdr>
          <w:top w:val="nil"/>
          <w:left w:val="nil"/>
          <w:bottom w:val="nil"/>
          <w:right w:val="nil"/>
          <w:between w:val="nil"/>
        </w:pBdr>
        <w:spacing w:after="0"/>
        <w:jc w:val="both"/>
        <w:rPr>
          <w:color w:val="000000"/>
        </w:rPr>
      </w:pPr>
      <w:r>
        <w:t>Resumen EMRA 2023-2050</w:t>
      </w:r>
    </w:p>
    <w:p w14:paraId="72C005DE" w14:textId="77777777" w:rsidR="0006414C" w:rsidRDefault="00812593">
      <w:pPr>
        <w:numPr>
          <w:ilvl w:val="0"/>
          <w:numId w:val="1"/>
        </w:numPr>
        <w:pBdr>
          <w:top w:val="nil"/>
          <w:left w:val="nil"/>
          <w:bottom w:val="nil"/>
          <w:right w:val="nil"/>
          <w:between w:val="nil"/>
        </w:pBdr>
        <w:spacing w:after="0"/>
        <w:jc w:val="both"/>
      </w:pPr>
      <w:r>
        <w:t>Avances de los Acuerdos Transversales</w:t>
      </w:r>
    </w:p>
    <w:p w14:paraId="4BAE0212" w14:textId="77777777" w:rsidR="0006414C" w:rsidRDefault="00812593">
      <w:pPr>
        <w:numPr>
          <w:ilvl w:val="0"/>
          <w:numId w:val="1"/>
        </w:numPr>
        <w:pBdr>
          <w:top w:val="nil"/>
          <w:left w:val="nil"/>
          <w:bottom w:val="nil"/>
          <w:right w:val="nil"/>
          <w:between w:val="nil"/>
        </w:pBdr>
        <w:spacing w:after="0"/>
        <w:jc w:val="both"/>
      </w:pPr>
      <w:r>
        <w:t>Modelo de Gestión</w:t>
      </w:r>
    </w:p>
    <w:p w14:paraId="6D924015" w14:textId="77777777" w:rsidR="0006414C" w:rsidRDefault="00812593">
      <w:pPr>
        <w:numPr>
          <w:ilvl w:val="0"/>
          <w:numId w:val="1"/>
        </w:numPr>
        <w:pBdr>
          <w:top w:val="nil"/>
          <w:left w:val="nil"/>
          <w:bottom w:val="nil"/>
          <w:right w:val="nil"/>
          <w:between w:val="nil"/>
        </w:pBdr>
        <w:spacing w:after="0"/>
        <w:jc w:val="both"/>
      </w:pPr>
      <w:r>
        <w:t>Plan Comunicacional</w:t>
      </w:r>
    </w:p>
    <w:p w14:paraId="1EB153C7" w14:textId="77777777" w:rsidR="0006414C" w:rsidRDefault="00812593">
      <w:pPr>
        <w:numPr>
          <w:ilvl w:val="0"/>
          <w:numId w:val="1"/>
        </w:numPr>
        <w:pBdr>
          <w:top w:val="nil"/>
          <w:left w:val="nil"/>
          <w:bottom w:val="nil"/>
          <w:right w:val="nil"/>
          <w:between w:val="nil"/>
        </w:pBdr>
        <w:spacing w:after="0"/>
        <w:jc w:val="both"/>
      </w:pPr>
      <w:r>
        <w:t>Avances Proyectos Estratégicos</w:t>
      </w:r>
    </w:p>
    <w:p w14:paraId="13E7AD5F" w14:textId="77777777" w:rsidR="0006414C" w:rsidRDefault="00812593">
      <w:pPr>
        <w:numPr>
          <w:ilvl w:val="0"/>
          <w:numId w:val="1"/>
        </w:numPr>
        <w:pBdr>
          <w:top w:val="nil"/>
          <w:left w:val="nil"/>
          <w:bottom w:val="nil"/>
          <w:right w:val="nil"/>
          <w:between w:val="nil"/>
        </w:pBdr>
        <w:spacing w:after="0"/>
        <w:jc w:val="both"/>
      </w:pPr>
      <w:r>
        <w:t>Varios</w:t>
      </w:r>
    </w:p>
    <w:p w14:paraId="26BC8A0A" w14:textId="77777777" w:rsidR="00B52437" w:rsidRDefault="00B52437" w:rsidP="00B52437">
      <w:pPr>
        <w:pBdr>
          <w:top w:val="nil"/>
          <w:left w:val="nil"/>
          <w:bottom w:val="nil"/>
          <w:right w:val="nil"/>
          <w:between w:val="nil"/>
        </w:pBdr>
        <w:spacing w:after="0"/>
        <w:jc w:val="both"/>
      </w:pPr>
    </w:p>
    <w:p w14:paraId="39F2D234" w14:textId="77777777" w:rsidR="0006414C" w:rsidRDefault="00812593">
      <w:pPr>
        <w:shd w:val="clear" w:color="auto" w:fill="D9E2F3"/>
        <w:jc w:val="both"/>
        <w:rPr>
          <w:b/>
        </w:rPr>
      </w:pPr>
      <w:r>
        <w:rPr>
          <w:b/>
        </w:rPr>
        <w:t>DESARROLLO DE LA SESIÓN:</w:t>
      </w:r>
    </w:p>
    <w:p w14:paraId="3376F3AD" w14:textId="77777777" w:rsidR="0006414C" w:rsidRDefault="00812593">
      <w:pPr>
        <w:jc w:val="both"/>
        <w:rPr>
          <w:b/>
        </w:rPr>
      </w:pPr>
      <w:r>
        <w:rPr>
          <w:b/>
        </w:rPr>
        <w:t>Punto 1: Palabras de Bienvenida</w:t>
      </w:r>
    </w:p>
    <w:p w14:paraId="756F0511" w14:textId="77777777" w:rsidR="0006414C" w:rsidRDefault="00812593">
      <w:pPr>
        <w:jc w:val="both"/>
      </w:pPr>
      <w:r>
        <w:t xml:space="preserve">Entrega las palabras de bienvenida el Sr. Gobernador Don Ricardo Díaz a todos los presentes. Posteriormente indica que la Estrategia Minera para el Bienestar de la Región de Antofagasta, se considera como un gran legado. La región está enfocada en la inversión minera y debe mantener su </w:t>
      </w:r>
      <w:r>
        <w:lastRenderedPageBreak/>
        <w:t xml:space="preserve">producción histórica para enfrentar los desafíos de la electromovilidad, lo que significa mucha inversión, mucho desarrollo y preocupación sobre cómo se va a realizar. </w:t>
      </w:r>
    </w:p>
    <w:p w14:paraId="7C3017B9" w14:textId="77777777" w:rsidR="00486C73" w:rsidRDefault="00486C73">
      <w:pPr>
        <w:jc w:val="both"/>
      </w:pPr>
    </w:p>
    <w:p w14:paraId="3F22597B" w14:textId="1A2027EA" w:rsidR="0006414C" w:rsidRDefault="00812593">
      <w:pPr>
        <w:jc w:val="both"/>
      </w:pPr>
      <w:r>
        <w:rPr>
          <w:b/>
        </w:rPr>
        <w:t>Punto 2: Resumen EMRA 2023-2050</w:t>
      </w:r>
    </w:p>
    <w:p w14:paraId="23CFAAB6" w14:textId="50EE74AF" w:rsidR="0006414C" w:rsidRDefault="00EA0A71">
      <w:pPr>
        <w:jc w:val="both"/>
      </w:pPr>
      <w:r>
        <w:t>El Señor Gobernador le cede la palabra a</w:t>
      </w:r>
      <w:r>
        <w:rPr>
          <w:b/>
        </w:rPr>
        <w:t xml:space="preserve"> </w:t>
      </w:r>
      <w:bookmarkStart w:id="3" w:name="_Hlk198807788"/>
      <w:r>
        <w:rPr>
          <w:b/>
        </w:rPr>
        <w:t xml:space="preserve">la Encargada </w:t>
      </w:r>
      <w:r w:rsidR="00414E80">
        <w:rPr>
          <w:b/>
        </w:rPr>
        <w:t xml:space="preserve">de la </w:t>
      </w:r>
      <w:r>
        <w:rPr>
          <w:b/>
        </w:rPr>
        <w:t xml:space="preserve">secretaria ejecutiva </w:t>
      </w:r>
      <w:bookmarkEnd w:id="3"/>
      <w:r>
        <w:rPr>
          <w:b/>
        </w:rPr>
        <w:t>de la EMRA 2023-2050 la profesional de planta del Gobierno Regional de Antofagasta la Srta</w:t>
      </w:r>
      <w:r w:rsidR="0039734C">
        <w:rPr>
          <w:b/>
        </w:rPr>
        <w:t>.</w:t>
      </w:r>
      <w:r>
        <w:rPr>
          <w:b/>
        </w:rPr>
        <w:t xml:space="preserve"> </w:t>
      </w:r>
      <w:r>
        <w:t xml:space="preserve">Gabriela Gómez, </w:t>
      </w:r>
      <w:r w:rsidR="0039734C">
        <w:t>quien parte su intervención destacando lo señalado en la primera sesión N°01-2025,</w:t>
      </w:r>
      <w:r w:rsidR="00812593">
        <w:t xml:space="preserve"> indicando que la Región de Antofagasta registra la inversión más grande a diciembre 2024 que se haya registrado en los últimos 14 años, en materia minera y energética.</w:t>
      </w:r>
    </w:p>
    <w:p w14:paraId="0BD65FB3" w14:textId="1749E2C2" w:rsidR="00DE44BC" w:rsidRDefault="0039734C">
      <w:pPr>
        <w:jc w:val="both"/>
      </w:pPr>
      <w:r>
        <w:rPr>
          <w:b/>
        </w:rPr>
        <w:t>La Encargada</w:t>
      </w:r>
      <w:r w:rsidR="00414E80">
        <w:rPr>
          <w:b/>
        </w:rPr>
        <w:t xml:space="preserve"> de la</w:t>
      </w:r>
      <w:r>
        <w:rPr>
          <w:b/>
        </w:rPr>
        <w:t xml:space="preserve"> secretaria ejecutiva la Srta. </w:t>
      </w:r>
      <w:r w:rsidR="00812593">
        <w:t xml:space="preserve">Gabriela Gómez, </w:t>
      </w:r>
      <w:r w:rsidR="00DE44BC">
        <w:t>inicia la presentación de la sesión N°02-2025, y aborda el punto 1 de la Tabla: “EMRA 2023-2050 En Resumen”. Al respecto i</w:t>
      </w:r>
      <w:r w:rsidR="00812593">
        <w:t>ndica que la EMRA 2023-2050 parte en el año 2022</w:t>
      </w:r>
      <w:r w:rsidR="00DE44BC">
        <w:t>,</w:t>
      </w:r>
      <w:r w:rsidR="00812593">
        <w:t xml:space="preserve"> </w:t>
      </w:r>
      <w:r w:rsidR="006F55A2">
        <w:t xml:space="preserve">y señala que </w:t>
      </w:r>
      <w:r w:rsidR="00812593">
        <w:t>fue</w:t>
      </w:r>
      <w:r w:rsidR="00DE44BC">
        <w:t xml:space="preserve"> impulsada</w:t>
      </w:r>
      <w:r w:rsidR="00812593">
        <w:t xml:space="preserve"> por el Señor Gobernador y por el Consejo Regional del periodo 2022-2025. </w:t>
      </w:r>
    </w:p>
    <w:p w14:paraId="408F68F0" w14:textId="16E1FC5F" w:rsidR="00DE44BC" w:rsidRDefault="00812593" w:rsidP="00DE44BC">
      <w:pPr>
        <w:jc w:val="both"/>
      </w:pPr>
      <w:r>
        <w:br/>
      </w:r>
      <w:r w:rsidR="00DE44BC">
        <w:t>Señala que este nuevo instrumento de planificación denominado “</w:t>
      </w:r>
      <w:r>
        <w:t>Estrategia Minera es para el bienestar de la Región de Antofagasta</w:t>
      </w:r>
      <w:r w:rsidR="00DE44BC">
        <w:t xml:space="preserve"> EMRA 2023-2050”</w:t>
      </w:r>
      <w:r>
        <w:t xml:space="preserve"> fue aprobada en marzo de 2024. </w:t>
      </w:r>
      <w:r w:rsidR="00486C73">
        <w:t>Señala “</w:t>
      </w:r>
      <w:r w:rsidR="00DE44BC">
        <w:t>Este instrumento de planificación, s</w:t>
      </w:r>
      <w:r>
        <w:t xml:space="preserve">e basa en </w:t>
      </w:r>
      <w:r w:rsidR="00DE44BC">
        <w:t>el</w:t>
      </w:r>
      <w:r>
        <w:t xml:space="preserve"> estudio que realizó la OCDE, </w:t>
      </w:r>
      <w:r w:rsidR="00DE44BC">
        <w:t xml:space="preserve">denominado “Estudio de Caso de Regiones y Ciudades mineras de la OCDE: Región de Antofagasta, Chile” </w:t>
      </w:r>
      <w:r w:rsidR="00864A57">
        <w:t xml:space="preserve">que contó </w:t>
      </w:r>
      <w:r>
        <w:t xml:space="preserve">con la participación del Instituto de Políticas Públicas de la UCN. </w:t>
      </w:r>
    </w:p>
    <w:p w14:paraId="70D4D896" w14:textId="1268A652" w:rsidR="0006414C" w:rsidRDefault="00812593" w:rsidP="00DE44BC">
      <w:pPr>
        <w:jc w:val="both"/>
      </w:pPr>
      <w:r>
        <w:t>Este estudio</w:t>
      </w:r>
      <w:r w:rsidR="00DE44BC">
        <w:t xml:space="preserve"> de la OCDE,</w:t>
      </w:r>
      <w:r>
        <w:t xml:space="preserve"> se encuentra disponible en la página web </w:t>
      </w:r>
      <w:hyperlink r:id="rId8">
        <w:r>
          <w:rPr>
            <w:color w:val="1155CC"/>
            <w:u w:val="single"/>
          </w:rPr>
          <w:t>https://www.estrategiamineraantofagasta.cl/documentos/</w:t>
        </w:r>
      </w:hyperlink>
      <w:r>
        <w:t xml:space="preserve">, donde están las principales recomendaciones que la OCDE hizo a Chile y a la Región de Antofagasta, señala que aparte de las grandes oportunidades que tiene esta Región en el marco de la transición energética que se está dando en el mundo, </w:t>
      </w:r>
      <w:r w:rsidR="00486C73">
        <w:t xml:space="preserve">nuestra región </w:t>
      </w:r>
      <w:r>
        <w:t xml:space="preserve">tiene retos </w:t>
      </w:r>
      <w:r w:rsidR="00DE44BC">
        <w:t xml:space="preserve">importantes de atender como </w:t>
      </w:r>
      <w:r w:rsidR="00486C73">
        <w:t xml:space="preserve">ejemplo </w:t>
      </w:r>
      <w:r w:rsidR="00DE44BC">
        <w:t xml:space="preserve">acortar a la brevedad las brechas de bienestar </w:t>
      </w:r>
      <w:r>
        <w:t>de las comunidades</w:t>
      </w:r>
      <w:r w:rsidR="00DE44BC">
        <w:t xml:space="preserve"> que habitan la región de A</w:t>
      </w:r>
      <w:r w:rsidR="00F221B6">
        <w:t>ntofagasta.</w:t>
      </w:r>
    </w:p>
    <w:p w14:paraId="3085F5D8" w14:textId="2F490436" w:rsidR="0006414C" w:rsidRDefault="00F221B6">
      <w:pPr>
        <w:jc w:val="both"/>
      </w:pPr>
      <w:r>
        <w:t xml:space="preserve">Señala que </w:t>
      </w:r>
      <w:r w:rsidR="00812593">
        <w:t xml:space="preserve">La visión de la EMRA 2023-2050 es “Alcanzar un mayor bienestar en la Región de Antofagasta, construido sobre la base de un sector minero competitivo y ambientalmente responsable”; por lo </w:t>
      </w:r>
      <w:r w:rsidR="00895495">
        <w:t>tanto,</w:t>
      </w:r>
      <w:r w:rsidR="00812593">
        <w:t xml:space="preserve"> se busca disminuir las brechas, pero seguir siendo competitivos y aprovechar las oportunidades que está</w:t>
      </w:r>
      <w:r>
        <w:t>n</w:t>
      </w:r>
      <w:r w:rsidR="00812593">
        <w:t xml:space="preserve"> </w:t>
      </w:r>
      <w:r w:rsidR="00F466C9">
        <w:t>dándose</w:t>
      </w:r>
      <w:r w:rsidR="00812593">
        <w:t xml:space="preserve"> el mercado</w:t>
      </w:r>
      <w:r>
        <w:t xml:space="preserve"> internacional.</w:t>
      </w:r>
    </w:p>
    <w:p w14:paraId="1E3522FB" w14:textId="3CA0DB4B" w:rsidR="0006414C" w:rsidRDefault="00F466C9">
      <w:pPr>
        <w:jc w:val="both"/>
      </w:pPr>
      <w:r>
        <w:t>Al señalar los principales componentes</w:t>
      </w:r>
      <w:r w:rsidR="00486C73">
        <w:t>, parte señalando</w:t>
      </w:r>
      <w:r>
        <w:t xml:space="preserve"> que</w:t>
      </w:r>
      <w:r w:rsidR="00812593">
        <w:t xml:space="preserve"> </w:t>
      </w:r>
      <w:r>
        <w:t xml:space="preserve">la EMRA 2023-2050 </w:t>
      </w:r>
      <w:r w:rsidR="00812593">
        <w:t>consta de cinco Objetivos Estratégicos y son los siguientes:</w:t>
      </w:r>
    </w:p>
    <w:p w14:paraId="21499109" w14:textId="77777777" w:rsidR="00F221B6" w:rsidRDefault="00812593" w:rsidP="00F221B6">
      <w:pPr>
        <w:pStyle w:val="Prrafodelista"/>
        <w:numPr>
          <w:ilvl w:val="0"/>
          <w:numId w:val="3"/>
        </w:numPr>
        <w:jc w:val="both"/>
      </w:pPr>
      <w:r w:rsidRPr="00F221B6">
        <w:rPr>
          <w:b/>
        </w:rPr>
        <w:t xml:space="preserve">OE1: </w:t>
      </w:r>
      <w:r>
        <w:t>Mejorar la calidad de vida de todas las comunidades y pueblos indígenas de la Región de Antofagasta.</w:t>
      </w:r>
    </w:p>
    <w:p w14:paraId="5774CB05" w14:textId="77777777" w:rsidR="00F221B6" w:rsidRDefault="00812593" w:rsidP="00F221B6">
      <w:pPr>
        <w:pStyle w:val="Prrafodelista"/>
        <w:numPr>
          <w:ilvl w:val="0"/>
          <w:numId w:val="3"/>
        </w:numPr>
        <w:jc w:val="both"/>
      </w:pPr>
      <w:r w:rsidRPr="00F221B6">
        <w:rPr>
          <w:b/>
        </w:rPr>
        <w:t xml:space="preserve">OE2: </w:t>
      </w:r>
      <w:r>
        <w:t>Minería sustentable, que contemple la rehabilitación y preservación del patrimonio natural y cultural.</w:t>
      </w:r>
    </w:p>
    <w:p w14:paraId="57D1CDDA" w14:textId="77777777" w:rsidR="00F221B6" w:rsidRDefault="00812593" w:rsidP="00F221B6">
      <w:pPr>
        <w:pStyle w:val="Prrafodelista"/>
        <w:numPr>
          <w:ilvl w:val="0"/>
          <w:numId w:val="3"/>
        </w:numPr>
        <w:jc w:val="both"/>
      </w:pPr>
      <w:r w:rsidRPr="00F221B6">
        <w:rPr>
          <w:b/>
        </w:rPr>
        <w:t xml:space="preserve">OE3: </w:t>
      </w:r>
      <w:r>
        <w:t>Incentivar la creación y fortalecer las empresas regionales para aumentar su participación en la cadena de valor de la minería, con una perspectiva descentralizada.</w:t>
      </w:r>
    </w:p>
    <w:p w14:paraId="559C25B3" w14:textId="77777777" w:rsidR="00F221B6" w:rsidRPr="00F221B6" w:rsidRDefault="00812593" w:rsidP="00F221B6">
      <w:pPr>
        <w:pStyle w:val="Prrafodelista"/>
        <w:numPr>
          <w:ilvl w:val="0"/>
          <w:numId w:val="3"/>
        </w:numPr>
        <w:jc w:val="both"/>
      </w:pPr>
      <w:r w:rsidRPr="00F221B6">
        <w:rPr>
          <w:b/>
        </w:rPr>
        <w:t>OE4:</w:t>
      </w:r>
      <w:r>
        <w:t xml:space="preserve"> Mejorar la institucionalidad pública y la gobernanza para un sector minero más competitivo y sostenible</w:t>
      </w:r>
      <w:r w:rsidR="00F221B6">
        <w:t>.</w:t>
      </w:r>
    </w:p>
    <w:p w14:paraId="778BC3E8" w14:textId="7DA24774" w:rsidR="0006414C" w:rsidRDefault="00812593" w:rsidP="00F221B6">
      <w:pPr>
        <w:pStyle w:val="Prrafodelista"/>
        <w:numPr>
          <w:ilvl w:val="0"/>
          <w:numId w:val="3"/>
        </w:numPr>
        <w:jc w:val="both"/>
      </w:pPr>
      <w:r w:rsidRPr="00F221B6">
        <w:rPr>
          <w:b/>
        </w:rPr>
        <w:lastRenderedPageBreak/>
        <w:t xml:space="preserve">OE5: </w:t>
      </w:r>
      <w:r>
        <w:t>Reforzar el ecosistema del conocimiento y la innovación en la cadena del valor minero.</w:t>
      </w:r>
    </w:p>
    <w:p w14:paraId="4867BE03" w14:textId="64750DE4" w:rsidR="00F221B6" w:rsidRDefault="00812593">
      <w:pPr>
        <w:jc w:val="both"/>
      </w:pPr>
      <w:r>
        <w:t xml:space="preserve">Además, </w:t>
      </w:r>
      <w:r w:rsidR="00F221B6">
        <w:t xml:space="preserve">señala que otro principal componente de </w:t>
      </w:r>
      <w:r>
        <w:t xml:space="preserve">la Estrategia Minera </w:t>
      </w:r>
      <w:r w:rsidR="00F221B6">
        <w:t xml:space="preserve">EMRA 2023-2050, es que </w:t>
      </w:r>
      <w:r w:rsidR="00895495">
        <w:t xml:space="preserve">se lograron </w:t>
      </w:r>
      <w:r w:rsidRPr="00962DF2">
        <w:t>Acuerdos Transversales</w:t>
      </w:r>
      <w:r>
        <w:t xml:space="preserve"> </w:t>
      </w:r>
      <w:r w:rsidR="00895495">
        <w:t>entre</w:t>
      </w:r>
      <w:r w:rsidR="00F221B6">
        <w:t xml:space="preserve"> los distintos actores de la Región </w:t>
      </w:r>
      <w:r>
        <w:t xml:space="preserve">en cuatro </w:t>
      </w:r>
      <w:r w:rsidR="00F221B6">
        <w:t>dimensiones,</w:t>
      </w:r>
      <w:r>
        <w:t xml:space="preserve"> </w:t>
      </w:r>
      <w:r w:rsidR="00F221B6">
        <w:t xml:space="preserve">siendo estas: </w:t>
      </w:r>
      <w:r>
        <w:t>Dimensión Ambiental, Dimensión Social, Dimensión Económica y Dimensión Institucional.</w:t>
      </w:r>
    </w:p>
    <w:p w14:paraId="5DD60ACE" w14:textId="13596048" w:rsidR="00895495" w:rsidRDefault="00895495">
      <w:pPr>
        <w:jc w:val="both"/>
      </w:pPr>
      <w:r w:rsidRPr="00962DF2">
        <w:t>La Encargada de la secretaria ejecutiva de la EMRA 2023-2050, señala que en estas 4 dimensiones se definieron temáticas prioritarias para la región, a partir de lo cual se identificó un total de 19 acuerdos transversales que serán evaluados anualmente y dado a conocer a la ciudadanía.</w:t>
      </w:r>
    </w:p>
    <w:p w14:paraId="736AE666" w14:textId="389B98E0" w:rsidR="00895495" w:rsidRDefault="00962DF2">
      <w:pPr>
        <w:jc w:val="both"/>
      </w:pPr>
      <w:r>
        <w:t>En este punto,</w:t>
      </w:r>
      <w:r w:rsidR="00895495">
        <w:t xml:space="preserve"> </w:t>
      </w:r>
      <w:r w:rsidR="00895495">
        <w:rPr>
          <w:b/>
        </w:rPr>
        <w:t>la secretaria ejecutiva de la EMRA 2023-2050, da inicio al Punto 3 de la Tabla</w:t>
      </w:r>
      <w:r w:rsidR="009A520D">
        <w:rPr>
          <w:b/>
        </w:rPr>
        <w:t>.</w:t>
      </w:r>
    </w:p>
    <w:p w14:paraId="1B44B5CC" w14:textId="529CF8AB" w:rsidR="0006414C" w:rsidRDefault="00812593">
      <w:pPr>
        <w:jc w:val="both"/>
        <w:rPr>
          <w:b/>
        </w:rPr>
      </w:pPr>
      <w:r>
        <w:rPr>
          <w:b/>
        </w:rPr>
        <w:t>Punto 3: Avances Acuerdos Transversales</w:t>
      </w:r>
      <w:r w:rsidR="00895495">
        <w:rPr>
          <w:b/>
        </w:rPr>
        <w:t xml:space="preserve"> y sus avances al 31 de diciembre 2024</w:t>
      </w:r>
    </w:p>
    <w:p w14:paraId="35FF0D1B" w14:textId="73C6B8F8" w:rsidR="0006414C" w:rsidRDefault="00895495">
      <w:pPr>
        <w:spacing w:after="0"/>
        <w:jc w:val="both"/>
      </w:pPr>
      <w:r>
        <w:rPr>
          <w:b/>
        </w:rPr>
        <w:t xml:space="preserve">La Encargada de la secretaria ejecutiva, refuerza el punto en que es primera vez que en un instrumento de planificación quedan como parte integra </w:t>
      </w:r>
      <w:r w:rsidR="00812593">
        <w:t>acuerdos por escrito entre el sector minero, el sector público y la sociedad civil</w:t>
      </w:r>
      <w:r>
        <w:t xml:space="preserve"> y que estos tienen que</w:t>
      </w:r>
      <w:r w:rsidR="00812593">
        <w:t xml:space="preserve"> trabajar</w:t>
      </w:r>
      <w:r>
        <w:t>se</w:t>
      </w:r>
      <w:r w:rsidR="00812593">
        <w:t xml:space="preserve"> en forma conjunta y </w:t>
      </w:r>
      <w:r>
        <w:t>tiene que</w:t>
      </w:r>
      <w:r w:rsidR="00812593">
        <w:t xml:space="preserve"> alcanzar</w:t>
      </w:r>
      <w:r>
        <w:t>se</w:t>
      </w:r>
      <w:r w:rsidR="00812593">
        <w:t xml:space="preserve"> al año 2030. </w:t>
      </w:r>
    </w:p>
    <w:p w14:paraId="14A68EEA" w14:textId="77777777" w:rsidR="0006414C" w:rsidRDefault="0006414C">
      <w:pPr>
        <w:spacing w:after="0"/>
        <w:jc w:val="both"/>
      </w:pPr>
    </w:p>
    <w:p w14:paraId="6F861CF6" w14:textId="1212247B" w:rsidR="00812593" w:rsidRDefault="00812593">
      <w:pPr>
        <w:spacing w:after="0"/>
        <w:jc w:val="both"/>
      </w:pPr>
      <w:r>
        <w:t>Continúa señalando, que para esta sesión N°2-2025, en conjunto con la secretaria</w:t>
      </w:r>
      <w:r w:rsidR="009A520D">
        <w:t xml:space="preserve"> técnica</w:t>
      </w:r>
      <w:r>
        <w:t xml:space="preserve">, se realizó un ejercicio para realizar una medición de los avances de estos acuerdos a diciembre de 2024. </w:t>
      </w:r>
    </w:p>
    <w:p w14:paraId="7A888B4B" w14:textId="77777777" w:rsidR="00812593" w:rsidRDefault="00812593">
      <w:pPr>
        <w:spacing w:after="0"/>
        <w:jc w:val="both"/>
      </w:pPr>
    </w:p>
    <w:p w14:paraId="47D88C37" w14:textId="3A5F7D55" w:rsidR="00E76FB3" w:rsidRDefault="008A5CBF">
      <w:pPr>
        <w:spacing w:after="0"/>
        <w:jc w:val="both"/>
      </w:pPr>
      <w:r>
        <w:rPr>
          <w:b/>
        </w:rPr>
        <w:t xml:space="preserve">La Encargada de la secretaria ejecutiva indica que los datos mostrados </w:t>
      </w:r>
      <w:r w:rsidR="00962DF2">
        <w:rPr>
          <w:b/>
        </w:rPr>
        <w:t>son preliminares, indica</w:t>
      </w:r>
      <w:r w:rsidR="008969F2">
        <w:rPr>
          <w:b/>
        </w:rPr>
        <w:t xml:space="preserve"> </w:t>
      </w:r>
      <w:r>
        <w:rPr>
          <w:b/>
        </w:rPr>
        <w:t>que se requiere</w:t>
      </w:r>
      <w:r>
        <w:t xml:space="preserve"> realizar un trabajo de gabinete de uno o dos meses </w:t>
      </w:r>
      <w:r w:rsidR="00962DF2">
        <w:rPr>
          <w:b/>
        </w:rPr>
        <w:t xml:space="preserve">en la dimensión ambiental </w:t>
      </w:r>
      <w:r>
        <w:t>para ir afinando en conjunto con las empresas la modalidad de entrega de información para ir precisando la información</w:t>
      </w:r>
      <w:r w:rsidR="00962DF2">
        <w:t>. Recalca</w:t>
      </w:r>
      <w:r>
        <w:t xml:space="preserve"> que la idea es tener una gobernanza que se base en datos e ir midiendo los </w:t>
      </w:r>
      <w:r w:rsidR="00962DF2">
        <w:t xml:space="preserve">avances de los </w:t>
      </w:r>
      <w:r>
        <w:t>Acuerdos Transversales</w:t>
      </w:r>
      <w:r w:rsidR="00E76FB3">
        <w:t xml:space="preserve"> anualmente. </w:t>
      </w:r>
    </w:p>
    <w:p w14:paraId="502E6AA0" w14:textId="77777777" w:rsidR="00E76FB3" w:rsidRDefault="00E76FB3">
      <w:pPr>
        <w:spacing w:after="0"/>
        <w:jc w:val="both"/>
      </w:pPr>
    </w:p>
    <w:p w14:paraId="0F551505" w14:textId="7A39B590" w:rsidR="00E76FB3" w:rsidRDefault="00812593">
      <w:pPr>
        <w:spacing w:after="0"/>
        <w:jc w:val="both"/>
      </w:pPr>
      <w:r>
        <w:t>El Señor Gobernador, indica que la importancia de la Estrategia Minera es que existen compromisos en conjunto que se pueden ir revisando o ampliando, pero la idea es que todos esos compromisos o propuestas sean medibles.</w:t>
      </w:r>
    </w:p>
    <w:p w14:paraId="716CE929" w14:textId="77777777" w:rsidR="00E76FB3" w:rsidRDefault="00E76FB3">
      <w:pPr>
        <w:spacing w:after="0"/>
        <w:jc w:val="both"/>
      </w:pPr>
    </w:p>
    <w:p w14:paraId="35DECE2C" w14:textId="4E140767" w:rsidR="0006414C" w:rsidRDefault="00812593">
      <w:pPr>
        <w:spacing w:after="0"/>
        <w:jc w:val="both"/>
      </w:pPr>
      <w:r>
        <w:t xml:space="preserve">Pablo Pisani, comenta que es importante entender que si con los números mencionados se está cumpliendo o no la meta esperada y que si alguien tiene alguna dificultad para no cumplir, que se levante para efectos de poder apoyar en ese cumplimiento. </w:t>
      </w:r>
    </w:p>
    <w:p w14:paraId="3F983A43" w14:textId="77777777" w:rsidR="0006414C" w:rsidRDefault="0006414C">
      <w:pPr>
        <w:spacing w:after="0"/>
        <w:jc w:val="both"/>
      </w:pPr>
    </w:p>
    <w:p w14:paraId="4DFFF2BB" w14:textId="77777777" w:rsidR="0006414C" w:rsidRDefault="00812593">
      <w:pPr>
        <w:spacing w:after="0"/>
        <w:jc w:val="both"/>
      </w:pPr>
      <w:proofErr w:type="spellStart"/>
      <w:r>
        <w:t>Marko</w:t>
      </w:r>
      <w:proofErr w:type="spellEnd"/>
      <w:r>
        <w:t xml:space="preserve"> </w:t>
      </w:r>
      <w:proofErr w:type="spellStart"/>
      <w:r>
        <w:t>Razmilic</w:t>
      </w:r>
      <w:proofErr w:type="spellEnd"/>
      <w:r>
        <w:t>, menciona que se debe parametrizar la obtención y validación de la métrica para que se tenga la certeza de que se puede contrastar y de alguna manera sea un trabajo serio y transparente.</w:t>
      </w:r>
    </w:p>
    <w:p w14:paraId="6F0FDA54" w14:textId="77777777" w:rsidR="0006414C" w:rsidRDefault="0006414C">
      <w:pPr>
        <w:spacing w:after="0"/>
        <w:jc w:val="both"/>
      </w:pPr>
    </w:p>
    <w:p w14:paraId="48569BCE" w14:textId="77777777" w:rsidR="00D077EE" w:rsidRDefault="00812593">
      <w:pPr>
        <w:spacing w:after="0"/>
        <w:jc w:val="both"/>
      </w:pPr>
      <w:r>
        <w:t xml:space="preserve">Felipe Alveal, expone su duda sobre cómo va a ser la </w:t>
      </w:r>
      <w:proofErr w:type="spellStart"/>
      <w:r>
        <w:t>reportabilidad</w:t>
      </w:r>
      <w:proofErr w:type="spellEnd"/>
      <w:r>
        <w:t xml:space="preserve"> y que es importante ir cumpliendo estas metas fijando los procesos, es decir, qué se quiere lograr este año 2025 y que permita alcanzar ese nivel de exigencia que amerita </w:t>
      </w:r>
      <w:r w:rsidR="00D077EE">
        <w:t>esta</w:t>
      </w:r>
      <w:r>
        <w:t xml:space="preserve"> Estrategia. Indica que es necesario saber qué ocurre con la no </w:t>
      </w:r>
      <w:proofErr w:type="spellStart"/>
      <w:r>
        <w:t>reportabilidad</w:t>
      </w:r>
      <w:proofErr w:type="spellEnd"/>
      <w:r w:rsidR="00D077EE">
        <w:t>.</w:t>
      </w:r>
    </w:p>
    <w:p w14:paraId="75F1DBCA" w14:textId="77777777" w:rsidR="00D077EE" w:rsidRDefault="00D077EE">
      <w:pPr>
        <w:spacing w:after="0"/>
        <w:jc w:val="both"/>
      </w:pPr>
    </w:p>
    <w:p w14:paraId="723EFBDD" w14:textId="5E715DBD" w:rsidR="007926B0" w:rsidRDefault="008969F2" w:rsidP="007926B0">
      <w:pPr>
        <w:spacing w:after="0"/>
        <w:jc w:val="both"/>
      </w:pPr>
      <w:r w:rsidRPr="008969F2">
        <w:rPr>
          <w:bCs/>
        </w:rPr>
        <w:lastRenderedPageBreak/>
        <w:t>Respecto de la</w:t>
      </w:r>
      <w:r>
        <w:rPr>
          <w:bCs/>
        </w:rPr>
        <w:t>s</w:t>
      </w:r>
      <w:r w:rsidRPr="008969F2">
        <w:rPr>
          <w:bCs/>
        </w:rPr>
        <w:t xml:space="preserve"> </w:t>
      </w:r>
      <w:r>
        <w:rPr>
          <w:bCs/>
        </w:rPr>
        <w:t xml:space="preserve">demás </w:t>
      </w:r>
      <w:r w:rsidRPr="008969F2">
        <w:rPr>
          <w:bCs/>
        </w:rPr>
        <w:t>dimensi</w:t>
      </w:r>
      <w:r>
        <w:rPr>
          <w:bCs/>
        </w:rPr>
        <w:t>ones</w:t>
      </w:r>
      <w:r w:rsidR="00651D9A">
        <w:rPr>
          <w:bCs/>
        </w:rPr>
        <w:t>,</w:t>
      </w:r>
      <w:r w:rsidRPr="008969F2">
        <w:rPr>
          <w:bCs/>
        </w:rPr>
        <w:t xml:space="preserve"> l</w:t>
      </w:r>
      <w:r w:rsidR="0073594B" w:rsidRPr="008969F2">
        <w:rPr>
          <w:bCs/>
        </w:rPr>
        <w:t xml:space="preserve">a Encargada de la secretaria ejecutiva </w:t>
      </w:r>
      <w:r w:rsidR="00812593" w:rsidRPr="008969F2">
        <w:rPr>
          <w:bCs/>
        </w:rPr>
        <w:t>Gabriela</w:t>
      </w:r>
      <w:r w:rsidR="00812593">
        <w:t xml:space="preserve"> Gómez, </w:t>
      </w:r>
      <w:r w:rsidR="00AC22C0">
        <w:t xml:space="preserve">en la dimensión </w:t>
      </w:r>
      <w:r w:rsidR="00651D9A" w:rsidRPr="008969F2">
        <w:rPr>
          <w:bCs/>
        </w:rPr>
        <w:t xml:space="preserve">institucional, </w:t>
      </w:r>
      <w:r w:rsidR="007926B0">
        <w:t xml:space="preserve">cede la palabra al Seremi de Economía, Fomento y Turismo para que pueda informar en qué estado </w:t>
      </w:r>
      <w:r w:rsidR="00651D9A">
        <w:t xml:space="preserve">de avance de la iniciativa estratégica </w:t>
      </w:r>
      <w:r w:rsidR="00651D9A" w:rsidRPr="00FC29A2">
        <w:t>denominada</w:t>
      </w:r>
      <w:r w:rsidR="00296023" w:rsidRPr="00FC29A2">
        <w:t xml:space="preserve"> </w:t>
      </w:r>
      <w:r w:rsidR="007926B0" w:rsidRPr="00FC29A2">
        <w:t>“Apoyo a los servicios críticos.</w:t>
      </w:r>
    </w:p>
    <w:p w14:paraId="75514DA2" w14:textId="77777777" w:rsidR="007926B0" w:rsidRDefault="007926B0" w:rsidP="007926B0">
      <w:pPr>
        <w:spacing w:after="0"/>
        <w:jc w:val="both"/>
      </w:pPr>
    </w:p>
    <w:p w14:paraId="49ADDF30" w14:textId="1E3A3947" w:rsidR="00AC22C0" w:rsidRDefault="007926B0" w:rsidP="007926B0">
      <w:pPr>
        <w:spacing w:after="0"/>
        <w:jc w:val="both"/>
      </w:pPr>
      <w:r>
        <w:t xml:space="preserve">El SEREMI de Economía Don </w:t>
      </w:r>
      <w:r w:rsidR="00AC22C0">
        <w:t>Matías</w:t>
      </w:r>
      <w:r>
        <w:t xml:space="preserve"> </w:t>
      </w:r>
      <w:r w:rsidR="00AC22C0">
        <w:t>Muñoz</w:t>
      </w:r>
      <w:r>
        <w:t xml:space="preserve">, comenta que durante el mes de febrero con el Consejo Regional se aprobó una iniciativa para el traspaso desde el Gobierno Regional hacia el Ministerio de Economía por aproximadamente 1.688 millones de pesos, lo que va a significar en la contratación de 65 profesionales para nueve servicios públicos de la Región de Antofagasta. Estos nueve servicios son: Servicio de Evaluación Ambiental (7 profesionales), Seremi de Salud (8 profesionales), Ministerio de Vivienda y Urbanismo para Serviu (12 profesionales), Ministerio de Agricultura (2 profesionales), Ministerio de Energía (5 profesionales), Dirección de Obras Hidráulicas (9 profesionales), CONADI (7 profesionales), Consejo Monumentos Nacionales (6 profesionales) y Bienes Nacionales (9 profesionales). </w:t>
      </w:r>
    </w:p>
    <w:p w14:paraId="025F5486" w14:textId="77777777" w:rsidR="00AC22C0" w:rsidRDefault="00AC22C0" w:rsidP="007926B0">
      <w:pPr>
        <w:spacing w:after="0"/>
        <w:jc w:val="both"/>
      </w:pPr>
    </w:p>
    <w:p w14:paraId="0644CF5A" w14:textId="77777777" w:rsidR="00296023" w:rsidRDefault="00AC22C0" w:rsidP="007926B0">
      <w:pPr>
        <w:spacing w:after="0"/>
        <w:jc w:val="both"/>
      </w:pPr>
      <w:r>
        <w:t>Indica “</w:t>
      </w:r>
      <w:r w:rsidR="007926B0">
        <w:t>Se espera poder atender una cartera que supera los 80 proyectos sobre 100 millones de dólares en la Región, pero también con otros de menor magnitud, permitiendo agilizar los trámites que permanentemente están en las conversaciones con distintos actores en el proceso de inversión privada en la Región.</w:t>
      </w:r>
    </w:p>
    <w:p w14:paraId="02D50689" w14:textId="77777777" w:rsidR="00296023" w:rsidRDefault="00296023" w:rsidP="007926B0">
      <w:pPr>
        <w:spacing w:after="0"/>
        <w:jc w:val="both"/>
      </w:pPr>
    </w:p>
    <w:p w14:paraId="6FC484BB" w14:textId="77777777" w:rsidR="00296023" w:rsidRDefault="007926B0" w:rsidP="00296023">
      <w:pPr>
        <w:spacing w:after="0"/>
        <w:jc w:val="both"/>
      </w:pPr>
      <w:r>
        <w:t>Se espera en dos semanas más, activar los convenios de traspaso entre MINECON y estas nueve carteras para que los profesionales ya puedan empezar a trabajar.</w:t>
      </w:r>
      <w:r w:rsidR="00296023">
        <w:t xml:space="preserve"> </w:t>
      </w:r>
    </w:p>
    <w:p w14:paraId="61007A21" w14:textId="77777777" w:rsidR="001E2CB0" w:rsidRDefault="001E2CB0">
      <w:pPr>
        <w:spacing w:after="0"/>
        <w:jc w:val="both"/>
      </w:pPr>
    </w:p>
    <w:p w14:paraId="4634F926" w14:textId="71E8C845" w:rsidR="0006414C" w:rsidRDefault="001519DE">
      <w:pPr>
        <w:spacing w:after="0"/>
        <w:jc w:val="both"/>
      </w:pPr>
      <w:r>
        <w:rPr>
          <w:bCs/>
        </w:rPr>
        <w:t>Antes de pasar al siguiente punto en tabla, l</w:t>
      </w:r>
      <w:r w:rsidRPr="008969F2">
        <w:rPr>
          <w:bCs/>
        </w:rPr>
        <w:t>a Encargada de la secretaria ejecutiva Gabriela</w:t>
      </w:r>
      <w:r>
        <w:t xml:space="preserve"> Gómez </w:t>
      </w:r>
      <w:r w:rsidR="001E2CB0">
        <w:t xml:space="preserve">Indica que </w:t>
      </w:r>
      <w:r w:rsidR="003737CD">
        <w:t xml:space="preserve">en relación </w:t>
      </w:r>
      <w:r w:rsidR="001E2CB0">
        <w:t>la base de iniciativas</w:t>
      </w:r>
      <w:r w:rsidR="00812593">
        <w:t xml:space="preserve">, </w:t>
      </w:r>
      <w:r w:rsidR="001E2CB0">
        <w:t xml:space="preserve">recopilada en el transcurso de la elaboración de la EMRA, </w:t>
      </w:r>
      <w:r w:rsidR="00812593">
        <w:t>se</w:t>
      </w:r>
      <w:r w:rsidR="001E2CB0">
        <w:t xml:space="preserve"> </w:t>
      </w:r>
      <w:r w:rsidR="00812593">
        <w:t xml:space="preserve">ha hecho </w:t>
      </w:r>
      <w:r w:rsidR="001E2CB0">
        <w:t>un</w:t>
      </w:r>
      <w:r w:rsidR="00812593">
        <w:t xml:space="preserve"> </w:t>
      </w:r>
      <w:r w:rsidR="001E2CB0">
        <w:t>trabajo de</w:t>
      </w:r>
      <w:r w:rsidR="00812593">
        <w:t xml:space="preserve"> actualización para saber el estado de cada una de ellas. </w:t>
      </w:r>
      <w:r w:rsidR="001E2CB0">
        <w:t xml:space="preserve">La idea es que a través de la página web que se está desarrollando, el directorio pueda tener acceso al avance de las iniciativas privadas como públicas. </w:t>
      </w:r>
      <w:r w:rsidR="001E2CB0" w:rsidRPr="00880EC0">
        <w:rPr>
          <w:bCs/>
        </w:rPr>
        <w:t>El Encargado de la secretaria Técnica, el Gerente del Clúster minero señala que prontamente q</w:t>
      </w:r>
      <w:r w:rsidR="001E2CB0">
        <w:t>uedara disponible la nueva página web de la Estrategia EMRA 2023-2050.</w:t>
      </w:r>
    </w:p>
    <w:p w14:paraId="2DE4BB34" w14:textId="77777777" w:rsidR="0006414C" w:rsidRDefault="0006414C">
      <w:pPr>
        <w:spacing w:after="0"/>
        <w:jc w:val="both"/>
      </w:pPr>
    </w:p>
    <w:p w14:paraId="3AEE8E8F" w14:textId="77777777" w:rsidR="0006414C" w:rsidRDefault="00812593">
      <w:pPr>
        <w:jc w:val="both"/>
        <w:rPr>
          <w:b/>
        </w:rPr>
      </w:pPr>
      <w:r>
        <w:rPr>
          <w:b/>
        </w:rPr>
        <w:t>Punto 4: Modelo de Gestión</w:t>
      </w:r>
    </w:p>
    <w:p w14:paraId="42108528" w14:textId="77777777" w:rsidR="007B53C8" w:rsidRDefault="007B53C8" w:rsidP="007B53C8">
      <w:pPr>
        <w:spacing w:after="0"/>
        <w:jc w:val="both"/>
      </w:pPr>
    </w:p>
    <w:p w14:paraId="7735D00E" w14:textId="0A6E833C" w:rsidR="007B53C8" w:rsidRPr="007B53C8" w:rsidRDefault="007B53C8" w:rsidP="007B53C8">
      <w:pPr>
        <w:jc w:val="both"/>
        <w:rPr>
          <w:u w:val="single"/>
        </w:rPr>
      </w:pPr>
      <w:bookmarkStart w:id="4" w:name="_Hlk199986589"/>
      <w:r w:rsidRPr="005F46FD">
        <w:rPr>
          <w:bCs/>
        </w:rPr>
        <w:t xml:space="preserve">La Encargada </w:t>
      </w:r>
      <w:bookmarkStart w:id="5" w:name="_Hlk199985155"/>
      <w:r w:rsidRPr="005F46FD">
        <w:rPr>
          <w:bCs/>
        </w:rPr>
        <w:t>de la secretaria ejecutiva indica</w:t>
      </w:r>
      <w:r w:rsidR="00812593">
        <w:t xml:space="preserve"> </w:t>
      </w:r>
      <w:bookmarkEnd w:id="4"/>
      <w:bookmarkEnd w:id="5"/>
      <w:r w:rsidR="00D248A8">
        <w:t>“</w:t>
      </w:r>
      <w:r w:rsidR="005C5044">
        <w:t xml:space="preserve">Antofagasta, una de las regiones </w:t>
      </w:r>
      <w:r w:rsidR="00D248A8">
        <w:t>más</w:t>
      </w:r>
      <w:r w:rsidR="005C5044">
        <w:t xml:space="preserve"> importantes del mundo, busca un modelo </w:t>
      </w:r>
      <w:bookmarkStart w:id="6" w:name="_Hlk199111192"/>
      <w:r w:rsidR="00812593">
        <w:t>de Gestión</w:t>
      </w:r>
      <w:r w:rsidR="005C5044">
        <w:t xml:space="preserve"> que integre crecimiento y sostenibilidad</w:t>
      </w:r>
      <w:r w:rsidR="00D248A8">
        <w:t>”</w:t>
      </w:r>
      <w:r w:rsidR="005C5044">
        <w:t xml:space="preserve">. A </w:t>
      </w:r>
      <w:r w:rsidR="00D248A8">
        <w:t>continuación,</w:t>
      </w:r>
      <w:r w:rsidR="005C5044">
        <w:t xml:space="preserve"> señala las características que tiene el Modelo de Gestión de la EMRA 2023-2050:</w:t>
      </w:r>
      <w:r w:rsidR="00812593">
        <w:t xml:space="preserve"> </w:t>
      </w:r>
      <w:bookmarkEnd w:id="6"/>
    </w:p>
    <w:p w14:paraId="50770013" w14:textId="4974A4BB" w:rsidR="00D248A8" w:rsidRPr="00FC29A2" w:rsidRDefault="00BA26A9" w:rsidP="00D248A8">
      <w:pPr>
        <w:pStyle w:val="Prrafodelista"/>
        <w:numPr>
          <w:ilvl w:val="3"/>
          <w:numId w:val="1"/>
        </w:numPr>
        <w:ind w:left="0" w:firstLine="0"/>
        <w:jc w:val="both"/>
      </w:pPr>
      <w:r w:rsidRPr="00FC29A2">
        <w:t>Su</w:t>
      </w:r>
      <w:r w:rsidR="00D248A8" w:rsidRPr="00FC29A2">
        <w:t xml:space="preserve"> Toma de Decisión debe hacer sobre datos. Explica </w:t>
      </w:r>
      <w:r w:rsidR="00812593" w:rsidRPr="00FC29A2">
        <w:t>por</w:t>
      </w:r>
      <w:r w:rsidR="00D248A8" w:rsidRPr="00FC29A2">
        <w:t>que</w:t>
      </w:r>
      <w:r w:rsidR="00812593" w:rsidRPr="00FC29A2">
        <w:t xml:space="preserve"> es tan importante ir midiendo </w:t>
      </w:r>
      <w:r w:rsidR="00D248A8" w:rsidRPr="00FC29A2">
        <w:t>los avances de la EMRA, los avances de</w:t>
      </w:r>
      <w:r w:rsidR="00812593" w:rsidRPr="00FC29A2">
        <w:t xml:space="preserve"> acuerdos transversales y </w:t>
      </w:r>
      <w:r w:rsidR="00D248A8" w:rsidRPr="00FC29A2">
        <w:t>monitorear los</w:t>
      </w:r>
      <w:r w:rsidR="00812593" w:rsidRPr="00FC29A2">
        <w:t xml:space="preserve"> avances de las iniciativas que son parte de la Estrategia Minera. </w:t>
      </w:r>
    </w:p>
    <w:p w14:paraId="138AC9E1" w14:textId="3C16A36B" w:rsidR="007B53C8" w:rsidRPr="00FC29A2" w:rsidRDefault="00BA26A9" w:rsidP="00D248A8">
      <w:pPr>
        <w:pStyle w:val="Prrafodelista"/>
        <w:numPr>
          <w:ilvl w:val="3"/>
          <w:numId w:val="1"/>
        </w:numPr>
        <w:ind w:left="0" w:firstLine="0"/>
        <w:jc w:val="both"/>
      </w:pPr>
      <w:r w:rsidRPr="00FC29A2">
        <w:t xml:space="preserve">Se basa en una </w:t>
      </w:r>
      <w:r w:rsidR="00D248A8" w:rsidRPr="00FC29A2">
        <w:t>A</w:t>
      </w:r>
      <w:r w:rsidR="00812593" w:rsidRPr="00FC29A2">
        <w:t>lianza público privada</w:t>
      </w:r>
      <w:r w:rsidR="00D248A8" w:rsidRPr="00FC29A2">
        <w:t xml:space="preserve">. Señala que esta es </w:t>
      </w:r>
      <w:r w:rsidR="00812593" w:rsidRPr="00FC29A2">
        <w:t xml:space="preserve">una de las recomendaciones de la OCDE dado los desafíos y las oportunidades que enfrentamos lo más recomendable es hacer el trabajo de forma conjunta. </w:t>
      </w:r>
    </w:p>
    <w:p w14:paraId="2840760A" w14:textId="0F27C383" w:rsidR="00886A28" w:rsidRPr="00FC29A2" w:rsidRDefault="006621E8" w:rsidP="00886A28">
      <w:pPr>
        <w:pStyle w:val="Prrafodelista"/>
        <w:numPr>
          <w:ilvl w:val="3"/>
          <w:numId w:val="1"/>
        </w:numPr>
        <w:ind w:left="0" w:firstLine="0"/>
        <w:jc w:val="both"/>
      </w:pPr>
      <w:r w:rsidRPr="00FC29A2">
        <w:lastRenderedPageBreak/>
        <w:t>Busca ser Líder</w:t>
      </w:r>
      <w:r w:rsidR="001922FB" w:rsidRPr="00FC29A2">
        <w:t xml:space="preserve"> en </w:t>
      </w:r>
      <w:r w:rsidRPr="00FC29A2">
        <w:t xml:space="preserve">materia de </w:t>
      </w:r>
      <w:r w:rsidR="001922FB" w:rsidRPr="00FC29A2">
        <w:t>Sostenibilidad. Señala que debemos destacar por prácticas mineras sostenibles, innovadoras que sirvan como modelo internacional de responsabilidad social y ambiental.</w:t>
      </w:r>
      <w:r w:rsidR="00940272" w:rsidRPr="00FC29A2">
        <w:t xml:space="preserve"> Debemos hacer honor a ser es la primera región productora de cobre en el mundo y la segunda en litio.</w:t>
      </w:r>
    </w:p>
    <w:p w14:paraId="4C23702E" w14:textId="77777777" w:rsidR="00886A28" w:rsidRPr="00FC29A2" w:rsidRDefault="00886A28" w:rsidP="00886A28">
      <w:pPr>
        <w:pStyle w:val="Prrafodelista"/>
        <w:ind w:left="0"/>
        <w:jc w:val="both"/>
      </w:pPr>
    </w:p>
    <w:p w14:paraId="18146082" w14:textId="76541049" w:rsidR="00E45919" w:rsidRPr="00FC29A2" w:rsidRDefault="00886A28" w:rsidP="00E45919">
      <w:pPr>
        <w:pStyle w:val="Prrafodelista"/>
        <w:numPr>
          <w:ilvl w:val="3"/>
          <w:numId w:val="1"/>
        </w:numPr>
        <w:ind w:left="0" w:firstLine="0"/>
        <w:jc w:val="both"/>
      </w:pPr>
      <w:r w:rsidRPr="00FC29A2">
        <w:t xml:space="preserve">Busca </w:t>
      </w:r>
      <w:r w:rsidR="00812593" w:rsidRPr="00FC29A2">
        <w:t>Generar impacto económico</w:t>
      </w:r>
      <w:r w:rsidRPr="00FC29A2">
        <w:t xml:space="preserve">. Señala que, con ese norte, se busca apoyar proyectos que mejoran la competitividad económica y el PIB </w:t>
      </w:r>
      <w:r w:rsidR="006621E8" w:rsidRPr="00FC29A2">
        <w:t>región.</w:t>
      </w:r>
    </w:p>
    <w:p w14:paraId="60C72A34" w14:textId="77777777" w:rsidR="00E45919" w:rsidRPr="00FC29A2" w:rsidRDefault="00E45919" w:rsidP="00E45919">
      <w:pPr>
        <w:pStyle w:val="Prrafodelista"/>
      </w:pPr>
    </w:p>
    <w:p w14:paraId="0331A0FD" w14:textId="77777777" w:rsidR="007E09FB" w:rsidRPr="00FC29A2" w:rsidRDefault="006621E8" w:rsidP="00E45919">
      <w:pPr>
        <w:pStyle w:val="Prrafodelista"/>
        <w:numPr>
          <w:ilvl w:val="3"/>
          <w:numId w:val="1"/>
        </w:numPr>
        <w:ind w:left="0" w:firstLine="0"/>
        <w:jc w:val="both"/>
      </w:pPr>
      <w:r w:rsidRPr="00FC29A2">
        <w:t xml:space="preserve">Busca </w:t>
      </w:r>
      <w:r w:rsidR="00812593" w:rsidRPr="00FC29A2">
        <w:t>Asegura</w:t>
      </w:r>
      <w:r w:rsidRPr="00FC29A2">
        <w:t xml:space="preserve">r </w:t>
      </w:r>
      <w:r w:rsidR="007E09FB" w:rsidRPr="00FC29A2">
        <w:t>Equilibrio entre</w:t>
      </w:r>
      <w:r w:rsidRPr="00FC29A2">
        <w:t xml:space="preserve"> </w:t>
      </w:r>
      <w:r w:rsidR="007E09FB" w:rsidRPr="00FC29A2">
        <w:t>Productividad y Responsabilidad Social. Señala</w:t>
      </w:r>
      <w:r w:rsidRPr="00FC29A2">
        <w:t xml:space="preserve"> </w:t>
      </w:r>
      <w:r w:rsidR="00812593" w:rsidRPr="00FC29A2">
        <w:t xml:space="preserve">que </w:t>
      </w:r>
      <w:r w:rsidR="007E09FB" w:rsidRPr="00FC29A2">
        <w:t>se busca asegurar que el</w:t>
      </w:r>
      <w:r w:rsidR="00812593" w:rsidRPr="00FC29A2">
        <w:t xml:space="preserve"> crecimiento de la productividad minera se alinee con los objetivos de desarrollo sostenible </w:t>
      </w:r>
      <w:r w:rsidR="007E09FB" w:rsidRPr="00FC29A2">
        <w:t>que nos permitan</w:t>
      </w:r>
      <w:r w:rsidR="00812593" w:rsidRPr="00FC29A2">
        <w:t xml:space="preserve"> cerrar las brechas de bienestar que hay en la región.</w:t>
      </w:r>
      <w:r w:rsidR="00886A28" w:rsidRPr="00FC29A2">
        <w:t xml:space="preserve"> </w:t>
      </w:r>
    </w:p>
    <w:p w14:paraId="21F9B67F" w14:textId="77777777" w:rsidR="007E09FB" w:rsidRDefault="007E09FB" w:rsidP="007E09FB">
      <w:pPr>
        <w:pStyle w:val="Prrafodelista"/>
      </w:pPr>
    </w:p>
    <w:p w14:paraId="5DB611AF" w14:textId="77777777" w:rsidR="005F46FD" w:rsidRDefault="005F46FD" w:rsidP="007E09FB">
      <w:pPr>
        <w:pStyle w:val="Prrafodelista"/>
        <w:ind w:left="0"/>
        <w:jc w:val="both"/>
        <w:rPr>
          <w:bCs/>
        </w:rPr>
      </w:pPr>
      <w:r>
        <w:t xml:space="preserve">Respecto del Modelo de Gestión de la EMRA 2023-2050, </w:t>
      </w:r>
      <w:r w:rsidRPr="005F46FD">
        <w:rPr>
          <w:bCs/>
        </w:rPr>
        <w:t>la secretaria ejecutiva indica</w:t>
      </w:r>
      <w:r>
        <w:rPr>
          <w:bCs/>
        </w:rPr>
        <w:t>:</w:t>
      </w:r>
    </w:p>
    <w:p w14:paraId="6DDCE669" w14:textId="77777777" w:rsidR="005F46FD" w:rsidRDefault="005F46FD" w:rsidP="007E09FB">
      <w:pPr>
        <w:pStyle w:val="Prrafodelista"/>
        <w:ind w:left="0"/>
        <w:jc w:val="both"/>
      </w:pPr>
    </w:p>
    <w:p w14:paraId="2F10A244" w14:textId="71D340AF" w:rsidR="00A14671" w:rsidRDefault="005F46FD" w:rsidP="007E09FB">
      <w:pPr>
        <w:pStyle w:val="Prrafodelista"/>
        <w:ind w:left="0"/>
        <w:jc w:val="both"/>
      </w:pPr>
      <w:r>
        <w:t xml:space="preserve">Se propone como un modelo </w:t>
      </w:r>
      <w:r w:rsidR="0039225D">
        <w:t>cíclico</w:t>
      </w:r>
      <w:r>
        <w:t xml:space="preserve"> </w:t>
      </w:r>
      <w:r w:rsidR="0039225D">
        <w:t xml:space="preserve">de cinco pasos, </w:t>
      </w:r>
      <w:r>
        <w:t>que parte desde del</w:t>
      </w:r>
      <w:r w:rsidR="00812593">
        <w:t xml:space="preserve"> diagnóstico</w:t>
      </w:r>
      <w:r>
        <w:t xml:space="preserve"> de la OCDE, pasa por</w:t>
      </w:r>
      <w:r w:rsidR="0039225D">
        <w:t xml:space="preserve"> la definición de</w:t>
      </w:r>
      <w:r>
        <w:t xml:space="preserve"> los objetivos estratégicos y sus respectivas metas de corto, mediano y largo plazo </w:t>
      </w:r>
      <w:r w:rsidR="0039225D">
        <w:t>con sus respectivos indicadores. Conocido estas metas de corto, mediano y largo plazo, el equipo</w:t>
      </w:r>
      <w:r w:rsidR="00A14671">
        <w:t xml:space="preserve"> EMRA,</w:t>
      </w:r>
      <w:r w:rsidR="0039225D">
        <w:t xml:space="preserve"> el </w:t>
      </w:r>
      <w:proofErr w:type="gramStart"/>
      <w:r w:rsidR="0039225D">
        <w:t>directorio</w:t>
      </w:r>
      <w:proofErr w:type="gramEnd"/>
      <w:r w:rsidR="0039225D">
        <w:t xml:space="preserve"> </w:t>
      </w:r>
      <w:r w:rsidR="00A14671">
        <w:t>así</w:t>
      </w:r>
      <w:r w:rsidR="0039225D">
        <w:t xml:space="preserve"> como las comisiones deben buscar gestionar iniciativas que permitan alcanzar esas metas. Posteriormente estas</w:t>
      </w:r>
      <w:r w:rsidR="00A14671">
        <w:t xml:space="preserve"> iniciativas</w:t>
      </w:r>
      <w:r w:rsidR="0039225D">
        <w:t xml:space="preserve"> serán difundidas </w:t>
      </w:r>
      <w:r w:rsidR="00A14671">
        <w:t>a través</w:t>
      </w:r>
      <w:r w:rsidR="0039225D">
        <w:t xml:space="preserve"> de un plan comunicacional y</w:t>
      </w:r>
      <w:r w:rsidR="00A14671">
        <w:t xml:space="preserve"> finalmente</w:t>
      </w:r>
      <w:r w:rsidR="0039225D">
        <w:t xml:space="preserve"> la secret</w:t>
      </w:r>
      <w:r w:rsidR="00A14671">
        <w:t>aria deberá brindar mecanismos de seguimiento anual de los avances de estas iniciativas, así como del avance global de estas en las metas definidas en cada objetivo estratégicos, así como de los avances de los acuerdos transversales de la EMRA 2023-2050.</w:t>
      </w:r>
    </w:p>
    <w:p w14:paraId="6BF455A5" w14:textId="77777777" w:rsidR="00A14671" w:rsidRDefault="00A14671" w:rsidP="007E09FB">
      <w:pPr>
        <w:pStyle w:val="Prrafodelista"/>
        <w:ind w:left="0"/>
        <w:jc w:val="both"/>
      </w:pPr>
      <w:r>
        <w:t xml:space="preserve">Con los resultados de las mediciones </w:t>
      </w:r>
      <w:r w:rsidR="00812593">
        <w:t>se vuelva a repetir</w:t>
      </w:r>
      <w:r>
        <w:t xml:space="preserve"> el ciclo.</w:t>
      </w:r>
    </w:p>
    <w:p w14:paraId="21A75004" w14:textId="77777777" w:rsidR="00A14671" w:rsidRDefault="00A14671" w:rsidP="007E09FB">
      <w:pPr>
        <w:pStyle w:val="Prrafodelista"/>
        <w:ind w:left="0"/>
        <w:jc w:val="both"/>
      </w:pPr>
    </w:p>
    <w:p w14:paraId="6CDFE787" w14:textId="3B949013" w:rsidR="0006414C" w:rsidRPr="005F46FD" w:rsidRDefault="00A14671" w:rsidP="007E09FB">
      <w:pPr>
        <w:pStyle w:val="Prrafodelista"/>
        <w:ind w:left="0"/>
        <w:jc w:val="both"/>
      </w:pPr>
      <w:r w:rsidRPr="005F46FD">
        <w:rPr>
          <w:bCs/>
        </w:rPr>
        <w:t xml:space="preserve">La Encargada de la secretaria ejecutiva </w:t>
      </w:r>
      <w:r>
        <w:rPr>
          <w:bCs/>
        </w:rPr>
        <w:t>muestra los objetivos de corto y mediano plazo definidos por la OCDE</w:t>
      </w:r>
      <w:r>
        <w:t xml:space="preserve"> para el inicio del primer ciclo</w:t>
      </w:r>
      <w:r w:rsidR="00AF64D0">
        <w:t xml:space="preserve"> en cada objetivo estratégico:</w:t>
      </w:r>
      <w:r w:rsidR="00812593">
        <w:t xml:space="preserve"> </w:t>
      </w:r>
    </w:p>
    <w:p w14:paraId="64C20F3E" w14:textId="77777777" w:rsidR="0006414C" w:rsidRDefault="00812593">
      <w:pPr>
        <w:jc w:val="both"/>
      </w:pPr>
      <w:r>
        <w:t>1- OE1: Mejorar la calidad de vida de las comunidades locales y los pueblos indígenas.</w:t>
      </w:r>
    </w:p>
    <w:p w14:paraId="03CF9844" w14:textId="77777777" w:rsidR="0006414C" w:rsidRDefault="00812593">
      <w:pPr>
        <w:jc w:val="both"/>
      </w:pPr>
      <w:r>
        <w:t>2- OE2: Minería sustentable, que contemple la rehabilitación y preservación del patrimonio natural y cultural</w:t>
      </w:r>
    </w:p>
    <w:p w14:paraId="4E111AE8" w14:textId="77777777" w:rsidR="0006414C" w:rsidRDefault="00812593">
      <w:pPr>
        <w:jc w:val="both"/>
      </w:pPr>
      <w:r>
        <w:t>3- OE3: Incentivar la creación y fortalecer las empresas regionales para aumentar su participación en la cadena de valor de la minería, con una perspectiva descentralizada.</w:t>
      </w:r>
    </w:p>
    <w:p w14:paraId="01420496" w14:textId="77777777" w:rsidR="0006414C" w:rsidRDefault="00812593">
      <w:pPr>
        <w:jc w:val="both"/>
      </w:pPr>
      <w:r>
        <w:t>4- OE4: Mejorar la institucionalidad pública y la gobernanza para un sector minero más competitivo y sostenible</w:t>
      </w:r>
    </w:p>
    <w:p w14:paraId="5CB69AD9" w14:textId="77777777" w:rsidR="0006414C" w:rsidRDefault="00812593">
      <w:pPr>
        <w:jc w:val="both"/>
      </w:pPr>
      <w:r>
        <w:t>5- OE5: Reforzar el ecosistema del conocimiento y la innovación en la cadena del valor minero.</w:t>
      </w:r>
    </w:p>
    <w:p w14:paraId="645F650D" w14:textId="77777777" w:rsidR="0006414C" w:rsidRDefault="0006414C">
      <w:pPr>
        <w:jc w:val="both"/>
      </w:pPr>
    </w:p>
    <w:p w14:paraId="3AB49072" w14:textId="77777777" w:rsidR="0006414C" w:rsidRDefault="00812593">
      <w:pPr>
        <w:jc w:val="both"/>
        <w:rPr>
          <w:b/>
        </w:rPr>
      </w:pPr>
      <w:r>
        <w:rPr>
          <w:b/>
        </w:rPr>
        <w:t>Punto 5: Plan Comunicacional</w:t>
      </w:r>
    </w:p>
    <w:p w14:paraId="0A87FC14" w14:textId="77777777" w:rsidR="00890833" w:rsidRDefault="00812593">
      <w:pPr>
        <w:jc w:val="both"/>
      </w:pPr>
      <w:r>
        <w:t>Orlando Gahona explica que el objetivo fundamental del plan comunicacional es generar un diálogo hacia toda la Región con respecto a los objetivos principales que tiene la EMRA. Esto se realizará a través de un mensaje simple y entendible, un enfoque en los cinco objetivos estratégicos, promoción de las buenas prácticas y proyectos y la transversalidad del mensaje.</w:t>
      </w:r>
    </w:p>
    <w:p w14:paraId="6B8AE0EE" w14:textId="4BA81705" w:rsidR="00890833" w:rsidRDefault="00812593">
      <w:pPr>
        <w:jc w:val="both"/>
      </w:pPr>
      <w:r>
        <w:lastRenderedPageBreak/>
        <w:t>Los canales a utilizar serán las redes sociales, los distintos medios locales (radios, televisión y medios impresos), eventos y actividades abiertas a la comunidad para difundir y mostrar los avances de la Estrategia, con un enfoque educativo</w:t>
      </w:r>
      <w:r w:rsidR="00890833">
        <w:t>.</w:t>
      </w:r>
    </w:p>
    <w:p w14:paraId="47CB0979" w14:textId="4ABA6393" w:rsidR="00890833" w:rsidRDefault="00812593">
      <w:pPr>
        <w:jc w:val="both"/>
      </w:pPr>
      <w:r>
        <w:t xml:space="preserve">Durante los primeros tres meses del año se ha estado trabajando en el diseño de una nueva página web de la EMRA y en el diseño de una estructura para las redes sociales y un video institucional con la finalidad de mostrar la visión de la EMRA. Desde mayo en adelante, </w:t>
      </w:r>
      <w:proofErr w:type="gramStart"/>
      <w:r>
        <w:t>habrán</w:t>
      </w:r>
      <w:proofErr w:type="gramEnd"/>
      <w:r>
        <w:t xml:space="preserve"> campañas de difusión, publicaciones mensuales y quincenales, videos cortos, etc. </w:t>
      </w:r>
    </w:p>
    <w:p w14:paraId="3F997673" w14:textId="77777777" w:rsidR="00890833" w:rsidRDefault="00812593">
      <w:pPr>
        <w:jc w:val="both"/>
      </w:pPr>
      <w:r>
        <w:t xml:space="preserve">La idea es incorporar todos los proyectos que se han estado realizando para mostrar los proyectos que están en línea con la Estrategia Minera Regional. </w:t>
      </w:r>
    </w:p>
    <w:p w14:paraId="3CB7E07D" w14:textId="7D61EE25" w:rsidR="00A018CB" w:rsidRDefault="00812593">
      <w:pPr>
        <w:jc w:val="both"/>
      </w:pPr>
      <w:r>
        <w:t>Comenta también que se realizarán actividades en distintas comunas, con la finalidad de que el mensaje llegue a toda la región.</w:t>
      </w:r>
    </w:p>
    <w:p w14:paraId="246469F5" w14:textId="30F9EF83" w:rsidR="00E8471A" w:rsidRDefault="00812593">
      <w:pPr>
        <w:jc w:val="both"/>
      </w:pPr>
      <w:r>
        <w:t>Orlando Gahona, solicita ayuda y apoyo al Señor Gobernador por la lentitud en los aportes comprometidos de las compañías mineras, ya que la Corporación necesita recursos para poder avanzar y hacer actividades, teniendo en cuenta que la EMRA es un esfuerzo de la región.</w:t>
      </w:r>
      <w:r>
        <w:br/>
      </w:r>
    </w:p>
    <w:p w14:paraId="55509211" w14:textId="41BD112F" w:rsidR="00890833" w:rsidRDefault="00812593">
      <w:pPr>
        <w:jc w:val="both"/>
      </w:pPr>
      <w:r>
        <w:t xml:space="preserve">El Señor Gobernador, comenta que el viernes 11 de abril </w:t>
      </w:r>
      <w:r w:rsidR="00890833">
        <w:t xml:space="preserve">2025 </w:t>
      </w:r>
      <w:r>
        <w:t xml:space="preserve">se realizará el Consejo Minero y la idea es presentarle a los grandes directorios de las compañías esta Estrategia y generar mayores compromisos. </w:t>
      </w:r>
      <w:r>
        <w:br/>
      </w:r>
    </w:p>
    <w:p w14:paraId="11472D35" w14:textId="638A8D03" w:rsidR="00EB6ACA" w:rsidRDefault="00812593">
      <w:pPr>
        <w:jc w:val="both"/>
      </w:pPr>
      <w:r>
        <w:t>Pablo Pisani indica que desde Escondida BHP existe un gran compromiso con la EMRA y que la reunión del Consejo Minero es una tremenda oportunidad para seguir poniendo en valor esta Estrategia y aunar más esfuerzos.</w:t>
      </w:r>
    </w:p>
    <w:p w14:paraId="39FEAF62" w14:textId="0EA98A66" w:rsidR="0006414C" w:rsidRDefault="00812593">
      <w:pPr>
        <w:jc w:val="both"/>
      </w:pPr>
      <w:r>
        <w:t xml:space="preserve">Felipe Alveal comenta que la EMRA está siendo muy observada, ya que es un buen instrumento para generar diálogo, conversaciones virtuosas y que ayuda al desarrollo. </w:t>
      </w:r>
    </w:p>
    <w:p w14:paraId="4BED5138" w14:textId="0273DAF3" w:rsidR="00890833" w:rsidRDefault="00812593">
      <w:pPr>
        <w:jc w:val="both"/>
      </w:pPr>
      <w:r>
        <w:t xml:space="preserve">El Señor Gobernador indica </w:t>
      </w:r>
      <w:r w:rsidR="00890833">
        <w:t>que,</w:t>
      </w:r>
      <w:r>
        <w:t xml:space="preserve"> en la reunión del Consejo Minero, a través del diálogo se debe sacar mejores beneficios para las comunidades y territorios de la Región. </w:t>
      </w:r>
    </w:p>
    <w:p w14:paraId="7A9B2282" w14:textId="6A51B6CB" w:rsidR="0006414C" w:rsidRDefault="00812593">
      <w:pPr>
        <w:jc w:val="both"/>
      </w:pPr>
      <w:r>
        <w:t>La EMRA contempla el asegurar servicios básicos mínimos para todos los que habitan en la Región, la empleabilidad, compromisos de la gran minería, pero también implica que haya formación académica para cumplir los desafíos del futuro.</w:t>
      </w:r>
    </w:p>
    <w:p w14:paraId="2C87C240" w14:textId="77777777" w:rsidR="0006414C" w:rsidRDefault="00812593">
      <w:pPr>
        <w:jc w:val="both"/>
      </w:pPr>
      <w:r>
        <w:t xml:space="preserve">Germana González comenta que en esa reunión se cuente de los proyectos que se están realizando. Mostrar y evidenciar el compromiso del Gobierno Regional en agilizar los proyectos que van en beneficio de la comunidad. </w:t>
      </w:r>
    </w:p>
    <w:p w14:paraId="6F33CFD0" w14:textId="77777777" w:rsidR="0006414C" w:rsidRDefault="0006414C">
      <w:pPr>
        <w:jc w:val="both"/>
      </w:pPr>
    </w:p>
    <w:p w14:paraId="31B8521A" w14:textId="77777777" w:rsidR="0006414C" w:rsidRDefault="00812593">
      <w:pPr>
        <w:jc w:val="both"/>
        <w:rPr>
          <w:b/>
        </w:rPr>
      </w:pPr>
      <w:r>
        <w:rPr>
          <w:b/>
        </w:rPr>
        <w:t>Punto 6: Avances Proyectos Estratégicos.</w:t>
      </w:r>
    </w:p>
    <w:p w14:paraId="39551E87" w14:textId="77777777" w:rsidR="00A018CB" w:rsidRDefault="00812593">
      <w:pPr>
        <w:jc w:val="both"/>
      </w:pPr>
      <w:r w:rsidRPr="00A018CB">
        <w:rPr>
          <w:b/>
          <w:bCs/>
        </w:rPr>
        <w:t xml:space="preserve">Representante de la Empresa Portuaria de Antofagasta, Oscar Novoa presenta el proyecto </w:t>
      </w:r>
      <w:r w:rsidRPr="00A018CB">
        <w:rPr>
          <w:b/>
          <w:bCs/>
          <w:i/>
          <w:u w:val="single"/>
        </w:rPr>
        <w:t>“Zona de Desarrollo Logístico la Negra”</w:t>
      </w:r>
      <w:r w:rsidRPr="00A018CB">
        <w:rPr>
          <w:b/>
          <w:bCs/>
        </w:rPr>
        <w:t>.</w:t>
      </w:r>
      <w:r>
        <w:t xml:space="preserve"> Comenta que el proyecto se encuentra ubicado al costado de Albemarle, en conexión con la Ruta 5, al lado de SQM y de la conexión ligada al Corredor Bioceánico. </w:t>
      </w:r>
      <w:r>
        <w:lastRenderedPageBreak/>
        <w:t xml:space="preserve">El proyecto consta de 50 hectáreas, distribuidas en 9 sitios que rondan entre los 1.4 y 2.3 hectáreas que se licitarán durante el segundo semestre. La zona primaria que será de Aduanas y la zona Pyme donde van a haber 36 sitios que son de 900 m2 cada uno. </w:t>
      </w:r>
    </w:p>
    <w:p w14:paraId="06781E21" w14:textId="77777777" w:rsidR="00A018CB" w:rsidRDefault="00812593">
      <w:pPr>
        <w:jc w:val="both"/>
      </w:pPr>
      <w:r>
        <w:t>La zona Franco Paraguaya son 10 hectáreas, la zona extraportuaria y pyme son 30 hectáreas. Hay un área de esparcimiento y recreación y la futura entrega será una zona de descanso para camiones.</w:t>
      </w:r>
      <w:r>
        <w:br/>
        <w:t xml:space="preserve">Los beneficios de esta zona de desarrollo son la logística y que está enfocado para la industria y la exportación. </w:t>
      </w:r>
      <w:r>
        <w:br/>
      </w:r>
    </w:p>
    <w:p w14:paraId="6ADC106F" w14:textId="26397CDE" w:rsidR="00A018CB" w:rsidRDefault="00812593">
      <w:pPr>
        <w:jc w:val="both"/>
      </w:pPr>
      <w:r>
        <w:t xml:space="preserve">Todos los sitios cuentan con los servicios básicos, alcantarillado construido, servicio de corrientes débiles y un circuito cerrado de televisión. </w:t>
      </w:r>
    </w:p>
    <w:p w14:paraId="1134E0E9" w14:textId="77777777" w:rsidR="00A018CB" w:rsidRDefault="00812593">
      <w:pPr>
        <w:jc w:val="both"/>
      </w:pPr>
      <w:r>
        <w:t>El proyecto cuenta con un avance de un 65% con fecha de término en</w:t>
      </w:r>
      <w:r w:rsidR="00A018CB">
        <w:t xml:space="preserve"> el mes de</w:t>
      </w:r>
      <w:r>
        <w:t xml:space="preserve"> junio</w:t>
      </w:r>
      <w:r w:rsidR="00A018CB">
        <w:t xml:space="preserve"> 2025</w:t>
      </w:r>
      <w:r>
        <w:t>.</w:t>
      </w:r>
    </w:p>
    <w:p w14:paraId="326CF20F" w14:textId="0F3C23C4" w:rsidR="00A018CB" w:rsidRDefault="00812593">
      <w:pPr>
        <w:jc w:val="both"/>
      </w:pPr>
      <w:r>
        <w:t xml:space="preserve"> </w:t>
      </w:r>
      <w:r>
        <w:br/>
        <w:t xml:space="preserve">Un proyecto a futuro, es la conexión férrea al interior de la Zona Logística con el fin de potenciar que las empresas que liciten los terrenos puedan transportar cargar vía férrea y no solamente por camiones. </w:t>
      </w:r>
      <w:r>
        <w:br/>
      </w:r>
    </w:p>
    <w:p w14:paraId="180BD866" w14:textId="77777777" w:rsidR="00A018CB" w:rsidRDefault="00812593">
      <w:pPr>
        <w:jc w:val="both"/>
      </w:pPr>
      <w:r>
        <w:t>Con respecto al abastecimiento de agua, están construidos dos estanques que son de 50.000 litros y la compra será a Aguas Antofagasta. En el futuro, una vez que llegue la línea de agua al sector, la primera gestión será conectarse directamente, porque no hay conexión directa de agua potable.</w:t>
      </w:r>
    </w:p>
    <w:p w14:paraId="5D2342D8" w14:textId="77777777" w:rsidR="009A144D" w:rsidRDefault="00812593">
      <w:pPr>
        <w:jc w:val="both"/>
      </w:pPr>
      <w:r>
        <w:br/>
      </w:r>
      <w:r w:rsidRPr="009A144D">
        <w:rPr>
          <w:b/>
          <w:bCs/>
        </w:rPr>
        <w:t xml:space="preserve">Representante de la Compañía Ferrocarril Antofagasta Bolivia, Jaime Henríquez presenta el proyecto </w:t>
      </w:r>
      <w:r w:rsidRPr="009A144D">
        <w:rPr>
          <w:b/>
          <w:bCs/>
          <w:i/>
          <w:u w:val="single"/>
        </w:rPr>
        <w:t>“Urbanización de Patios Ferroviarios”</w:t>
      </w:r>
      <w:r w:rsidRPr="009A144D">
        <w:rPr>
          <w:b/>
          <w:bCs/>
        </w:rPr>
        <w:t>.</w:t>
      </w:r>
      <w:r>
        <w:t xml:space="preserve"> Expone que este proyecto busca transformar pasivos industriales en un activo urbano. </w:t>
      </w:r>
    </w:p>
    <w:p w14:paraId="1B32A4DA" w14:textId="3A05BD17" w:rsidR="009A144D" w:rsidRDefault="00812593">
      <w:pPr>
        <w:jc w:val="both"/>
      </w:pPr>
      <w:r>
        <w:t xml:space="preserve">El terreno del Ferrocarril se extiende por 48 hectáreas y este proyecto es una oportunidad para aprovechar este espacio urbano rico en servicios e infraestructura. </w:t>
      </w:r>
      <w:r>
        <w:br/>
        <w:t xml:space="preserve">Este proyecto aporta en la calidad de vida de la ciudad y es refundacional para la misma, lo cual es el propósito buscado. </w:t>
      </w:r>
    </w:p>
    <w:p w14:paraId="328B4C15" w14:textId="098B248C" w:rsidR="009A144D" w:rsidRDefault="00812593">
      <w:pPr>
        <w:jc w:val="both"/>
      </w:pPr>
      <w:r>
        <w:t>Se busca aportar con distintos servicios a las 48 hectáreas, habilitando y abriendo nuevos espacios públicos, mejorando la conectividad urbana y también ayudar a descongestionar la ciudad por la troncal paralela a la costanera, sin perder la impronta ferroviaria con la puesta en valor del patrimonio.</w:t>
      </w:r>
    </w:p>
    <w:p w14:paraId="29BCAC0D" w14:textId="77777777" w:rsidR="009A144D" w:rsidRDefault="00812593">
      <w:pPr>
        <w:jc w:val="both"/>
      </w:pPr>
      <w:r>
        <w:t xml:space="preserve">Es una oportunidad para incorporar desarrollo a la ciudad a través del turismo abriendo este espacio, por la Estación Valdivia, por las casas patrimoniales y el parque que tiene junto con las otras obras que se van a construir. </w:t>
      </w:r>
    </w:p>
    <w:p w14:paraId="6FE5BB2B" w14:textId="77777777" w:rsidR="009A144D" w:rsidRDefault="00812593">
      <w:pPr>
        <w:jc w:val="both"/>
      </w:pPr>
      <w:r>
        <w:t>Se integrarán aproximadamente 8.000 viviendas que en un plazo de 10 a 15 años podrían estar construidas, lo que se traduce en nuevos barrios y nuevas comunidades para la ciudad de Antofagasta con un estándar que ojalá replique el resto de la industria.</w:t>
      </w:r>
      <w:r>
        <w:br/>
        <w:t xml:space="preserve">Son cuatro patios ferroviarios que se van a desarrollar. </w:t>
      </w:r>
    </w:p>
    <w:p w14:paraId="4E185FEB" w14:textId="48C99BE2" w:rsidR="009A144D" w:rsidRDefault="00812593">
      <w:pPr>
        <w:jc w:val="both"/>
      </w:pPr>
      <w:r>
        <w:lastRenderedPageBreak/>
        <w:t xml:space="preserve">El patio norte, es el más importante con una superficie de 30 </w:t>
      </w:r>
      <w:proofErr w:type="gramStart"/>
      <w:r>
        <w:t>hectáreas  y</w:t>
      </w:r>
      <w:proofErr w:type="gramEnd"/>
      <w:r>
        <w:t xml:space="preserve"> aporta por sí solo las 8.000 viviendas mencionadas anteriormente. </w:t>
      </w:r>
    </w:p>
    <w:p w14:paraId="4EAFC948" w14:textId="796E06F0" w:rsidR="009A144D" w:rsidRDefault="00812593">
      <w:pPr>
        <w:jc w:val="both"/>
      </w:pPr>
      <w:r>
        <w:t>Con este proyecto se le inserta a la zona centro norte de la ciudad un atractivo urbano de uso social que hoy no existe, enriqueciendo la calidad de vida de las personas en ese sector.</w:t>
      </w:r>
    </w:p>
    <w:p w14:paraId="2F68660D" w14:textId="77777777" w:rsidR="009A144D" w:rsidRDefault="00812593">
      <w:pPr>
        <w:jc w:val="both"/>
      </w:pPr>
      <w:r>
        <w:t xml:space="preserve">Los parques tendrán veredas anchas, </w:t>
      </w:r>
      <w:proofErr w:type="spellStart"/>
      <w:r>
        <w:t>sombreaderos</w:t>
      </w:r>
      <w:proofErr w:type="spellEnd"/>
      <w:r>
        <w:t>, anfiteatros, comercio y al costado un desarrollo inmobiliario que no será realizado por la Compañía.</w:t>
      </w:r>
    </w:p>
    <w:p w14:paraId="21AC3485" w14:textId="77777777" w:rsidR="009A144D" w:rsidRDefault="00812593">
      <w:pPr>
        <w:jc w:val="both"/>
      </w:pPr>
      <w:r>
        <w:t>El patio Antofagasta, es muy rico en área verde e importante por la puesta en valor del patrimonio. Este espacio se abrirá al público y se generará un desarrollo turístico.</w:t>
      </w:r>
    </w:p>
    <w:p w14:paraId="322CB248" w14:textId="77777777" w:rsidR="009A144D" w:rsidRDefault="00812593">
      <w:pPr>
        <w:jc w:val="both"/>
      </w:pPr>
      <w:r>
        <w:t xml:space="preserve">El proyecto está diseñado de una forma que permite pensar en un tren urbano, por el ancho de la vía considerada, por lo tanto, es compatible en un futuro. </w:t>
      </w:r>
    </w:p>
    <w:p w14:paraId="07328CE2" w14:textId="0D312A34" w:rsidR="0006414C" w:rsidRDefault="00812593">
      <w:pPr>
        <w:jc w:val="both"/>
      </w:pPr>
      <w:r>
        <w:t>El Patio Bellavista es el primer entregable del proyecto, ya se tiene el certificado del suelo descontaminado, lo que indica que se le puede dar un uso distinto al industrial.</w:t>
      </w:r>
      <w:r>
        <w:br/>
        <w:t>Se espera tener urbanizado el Patio Bellavista a fines del año 2025, si los permisos salen a tiempo.</w:t>
      </w:r>
      <w:r>
        <w:br/>
        <w:t xml:space="preserve">El proyecto está en un proceso de traspaso, dado la magnitud y la importancia haciéndolo colaborativo entre el Ferrocarril y Antofagasta </w:t>
      </w:r>
      <w:proofErr w:type="spellStart"/>
      <w:r>
        <w:t>Minerals</w:t>
      </w:r>
      <w:proofErr w:type="spellEnd"/>
      <w:r>
        <w:t xml:space="preserve">. </w:t>
      </w:r>
    </w:p>
    <w:p w14:paraId="395380FC" w14:textId="77C04021" w:rsidR="0006414C" w:rsidRDefault="00812593">
      <w:pPr>
        <w:jc w:val="both"/>
      </w:pPr>
      <w:r>
        <w:t>Felipe Alveal, comenta que este es el gran proyecto que tiene Antofagasta y que el grupo minero cree que lo más importante es que esto es un sello para el territorio y también un legado para Antofagasta. Agrega que evidentemente tiene que tener un Sello EMRA.</w:t>
      </w:r>
    </w:p>
    <w:p w14:paraId="538816F1" w14:textId="77777777" w:rsidR="0006414C" w:rsidRDefault="00812593">
      <w:pPr>
        <w:jc w:val="both"/>
        <w:rPr>
          <w:b/>
        </w:rPr>
      </w:pPr>
      <w:r>
        <w:rPr>
          <w:b/>
        </w:rPr>
        <w:t>Punto 7: Varios</w:t>
      </w:r>
    </w:p>
    <w:p w14:paraId="0FD4A99D" w14:textId="77777777" w:rsidR="00EB6ACA" w:rsidRDefault="00EB6ACA">
      <w:pPr>
        <w:jc w:val="both"/>
      </w:pPr>
      <w:r w:rsidRPr="00EB6ACA">
        <w:t>La secretaria ejecutiva</w:t>
      </w:r>
      <w:r>
        <w:rPr>
          <w:b/>
        </w:rPr>
        <w:t xml:space="preserve"> </w:t>
      </w:r>
      <w:r w:rsidR="00812593">
        <w:t>Gabriela Gómez comenta cómo el Gobierno Regional está buscando las mejores formas técnicas para poder acortar los tiempos de diseño de iniciativas en una alianza público privada en áreas de salud, agua potable y alcantarillado y educación preescolar.</w:t>
      </w:r>
    </w:p>
    <w:p w14:paraId="16825076" w14:textId="77777777" w:rsidR="00EB6ACA" w:rsidRDefault="00812593">
      <w:pPr>
        <w:jc w:val="both"/>
      </w:pPr>
      <w:r>
        <w:t xml:space="preserve">Andrea Merino indica que es muy importante que haya algunas iniciativas nuevas, sin subestimar las iniciativas que ya existen en la EMRA. </w:t>
      </w:r>
    </w:p>
    <w:p w14:paraId="09B16467" w14:textId="77777777" w:rsidR="00EB6ACA" w:rsidRDefault="00812593">
      <w:pPr>
        <w:jc w:val="both"/>
      </w:pPr>
      <w:r>
        <w:t xml:space="preserve">El Señor Gobernador cierra la sesión comentando que hay varios desafíos porque como región hay una historia de desesperanza aprendida, porque las cosas no funcionan o que se demoran mucho y cuesta empezar a ver que se puede avanzar o lograr cosas. </w:t>
      </w:r>
    </w:p>
    <w:p w14:paraId="26E4FBC3" w14:textId="756575D7" w:rsidR="0006414C" w:rsidRDefault="00812593">
      <w:pPr>
        <w:jc w:val="both"/>
      </w:pPr>
      <w:r>
        <w:t xml:space="preserve">Hay que ver en qué se puede ir avanzando, qué se puede hacer bien, qué cosas se pueden plantear. La idea es que empiecen a funcionar las comisiones para que se pueda ir logrando lo que busca la Estrategia Minera. </w:t>
      </w:r>
    </w:p>
    <w:p w14:paraId="4BC8B0A8" w14:textId="77777777" w:rsidR="0006414C" w:rsidRDefault="0006414C">
      <w:pPr>
        <w:jc w:val="both"/>
      </w:pPr>
    </w:p>
    <w:p w14:paraId="6D2DF30C" w14:textId="77777777" w:rsidR="0006414C" w:rsidRDefault="00812593">
      <w:pPr>
        <w:jc w:val="both"/>
        <w:rPr>
          <w:b/>
        </w:rPr>
      </w:pPr>
      <w:r>
        <w:t>Finaliza la sesión a las 10.45 horas.</w:t>
      </w:r>
    </w:p>
    <w:sectPr w:rsidR="0006414C">
      <w:head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36859" w14:textId="77777777" w:rsidR="00B8501B" w:rsidRDefault="00B8501B">
      <w:pPr>
        <w:spacing w:after="0" w:line="240" w:lineRule="auto"/>
      </w:pPr>
      <w:r>
        <w:separator/>
      </w:r>
    </w:p>
  </w:endnote>
  <w:endnote w:type="continuationSeparator" w:id="0">
    <w:p w14:paraId="5E4B2AA2" w14:textId="77777777" w:rsidR="00B8501B" w:rsidRDefault="00B85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42DE9" w14:textId="77777777" w:rsidR="00B8501B" w:rsidRDefault="00B8501B">
      <w:pPr>
        <w:spacing w:after="0" w:line="240" w:lineRule="auto"/>
      </w:pPr>
      <w:r>
        <w:separator/>
      </w:r>
    </w:p>
  </w:footnote>
  <w:footnote w:type="continuationSeparator" w:id="0">
    <w:p w14:paraId="12624AFE" w14:textId="77777777" w:rsidR="00B8501B" w:rsidRDefault="00B85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F3850" w14:textId="77777777" w:rsidR="0006414C" w:rsidRDefault="00812593">
    <w:pPr>
      <w:tabs>
        <w:tab w:val="center" w:pos="4419"/>
        <w:tab w:val="right" w:pos="8838"/>
      </w:tabs>
      <w:spacing w:after="0" w:line="240" w:lineRule="auto"/>
      <w:rPr>
        <w:color w:val="000000"/>
      </w:rPr>
    </w:pPr>
    <w:r>
      <w:rPr>
        <w:noProof/>
      </w:rPr>
      <w:drawing>
        <wp:anchor distT="114300" distB="114300" distL="114300" distR="114300" simplePos="0" relativeHeight="251658240" behindDoc="0" locked="0" layoutInCell="1" hidden="0" allowOverlap="1" wp14:anchorId="63837EF5" wp14:editId="46AA6647">
          <wp:simplePos x="0" y="0"/>
          <wp:positionH relativeFrom="column">
            <wp:posOffset>-438149</wp:posOffset>
          </wp:positionH>
          <wp:positionV relativeFrom="paragraph">
            <wp:posOffset>-333374</wp:posOffset>
          </wp:positionV>
          <wp:extent cx="718499" cy="726758"/>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18499" cy="726758"/>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12229381" wp14:editId="538169F1">
          <wp:simplePos x="0" y="0"/>
          <wp:positionH relativeFrom="column">
            <wp:posOffset>5343525</wp:posOffset>
          </wp:positionH>
          <wp:positionV relativeFrom="paragraph">
            <wp:posOffset>-335279</wp:posOffset>
          </wp:positionV>
          <wp:extent cx="1053465" cy="733425"/>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10255" t="6242" r="-10858" b="10320"/>
                  <a:stretch>
                    <a:fillRect/>
                  </a:stretch>
                </pic:blipFill>
                <pic:spPr>
                  <a:xfrm>
                    <a:off x="0" y="0"/>
                    <a:ext cx="1053465" cy="7334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23E57"/>
    <w:multiLevelType w:val="multilevel"/>
    <w:tmpl w:val="938618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21E7FA2"/>
    <w:multiLevelType w:val="multilevel"/>
    <w:tmpl w:val="5A26E4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A960057"/>
    <w:multiLevelType w:val="hybridMultilevel"/>
    <w:tmpl w:val="496C3254"/>
    <w:lvl w:ilvl="0" w:tplc="7738115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376707402">
    <w:abstractNumId w:val="0"/>
  </w:num>
  <w:num w:numId="2" w16cid:durableId="775177045">
    <w:abstractNumId w:val="1"/>
  </w:num>
  <w:num w:numId="3" w16cid:durableId="1600917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14C"/>
    <w:rsid w:val="0006414C"/>
    <w:rsid w:val="000D1F14"/>
    <w:rsid w:val="0014505D"/>
    <w:rsid w:val="001519DE"/>
    <w:rsid w:val="001922FB"/>
    <w:rsid w:val="001B42E8"/>
    <w:rsid w:val="001E2CB0"/>
    <w:rsid w:val="00296023"/>
    <w:rsid w:val="002D03E9"/>
    <w:rsid w:val="003522C1"/>
    <w:rsid w:val="003737CD"/>
    <w:rsid w:val="0039225D"/>
    <w:rsid w:val="0039734C"/>
    <w:rsid w:val="003F5421"/>
    <w:rsid w:val="00414E80"/>
    <w:rsid w:val="00486C73"/>
    <w:rsid w:val="005712C0"/>
    <w:rsid w:val="005C5044"/>
    <w:rsid w:val="005F46FD"/>
    <w:rsid w:val="00606764"/>
    <w:rsid w:val="00651D9A"/>
    <w:rsid w:val="006621E8"/>
    <w:rsid w:val="006D363F"/>
    <w:rsid w:val="006F55A2"/>
    <w:rsid w:val="0073594B"/>
    <w:rsid w:val="007926B0"/>
    <w:rsid w:val="007B53C8"/>
    <w:rsid w:val="007E09FB"/>
    <w:rsid w:val="00812593"/>
    <w:rsid w:val="0083360A"/>
    <w:rsid w:val="00864A57"/>
    <w:rsid w:val="00880EC0"/>
    <w:rsid w:val="00886A28"/>
    <w:rsid w:val="00890833"/>
    <w:rsid w:val="00895495"/>
    <w:rsid w:val="008969F2"/>
    <w:rsid w:val="008A5CBF"/>
    <w:rsid w:val="00940272"/>
    <w:rsid w:val="00962DF2"/>
    <w:rsid w:val="009A144D"/>
    <w:rsid w:val="009A520D"/>
    <w:rsid w:val="009A5234"/>
    <w:rsid w:val="00A018CB"/>
    <w:rsid w:val="00A14671"/>
    <w:rsid w:val="00AA49DA"/>
    <w:rsid w:val="00AA74A1"/>
    <w:rsid w:val="00AC22C0"/>
    <w:rsid w:val="00AC2584"/>
    <w:rsid w:val="00AF64D0"/>
    <w:rsid w:val="00B52437"/>
    <w:rsid w:val="00B8501B"/>
    <w:rsid w:val="00BA26A9"/>
    <w:rsid w:val="00C4190D"/>
    <w:rsid w:val="00D077EE"/>
    <w:rsid w:val="00D248A8"/>
    <w:rsid w:val="00D974A5"/>
    <w:rsid w:val="00DE44BC"/>
    <w:rsid w:val="00E45919"/>
    <w:rsid w:val="00E76FB3"/>
    <w:rsid w:val="00E8471A"/>
    <w:rsid w:val="00EA0A71"/>
    <w:rsid w:val="00EB6ACA"/>
    <w:rsid w:val="00F13033"/>
    <w:rsid w:val="00F221B6"/>
    <w:rsid w:val="00F466C9"/>
    <w:rsid w:val="00F4734C"/>
    <w:rsid w:val="00FC29A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36B0E"/>
  <w15:docId w15:val="{C9C5124E-C83B-4CD9-A221-76A849AA5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MX"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B48"/>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rrafodelista">
    <w:name w:val="List Paragraph"/>
    <w:basedOn w:val="Normal"/>
    <w:uiPriority w:val="34"/>
    <w:qFormat/>
    <w:rsid w:val="00DD1AEF"/>
    <w:pPr>
      <w:ind w:left="720"/>
      <w:contextualSpacing/>
    </w:pPr>
  </w:style>
  <w:style w:type="paragraph" w:styleId="Encabezado">
    <w:name w:val="header"/>
    <w:basedOn w:val="Normal"/>
    <w:link w:val="EncabezadoCar"/>
    <w:uiPriority w:val="99"/>
    <w:unhideWhenUsed/>
    <w:rsid w:val="00DD1A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1AEF"/>
  </w:style>
  <w:style w:type="paragraph" w:styleId="Piedepgina">
    <w:name w:val="footer"/>
    <w:basedOn w:val="Normal"/>
    <w:link w:val="PiedepginaCar"/>
    <w:uiPriority w:val="99"/>
    <w:unhideWhenUsed/>
    <w:rsid w:val="00DD1A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1AEF"/>
  </w:style>
  <w:style w:type="table" w:styleId="Tablaconcuadrcula">
    <w:name w:val="Table Grid"/>
    <w:basedOn w:val="Tablanormal"/>
    <w:uiPriority w:val="39"/>
    <w:rsid w:val="00664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71F26"/>
    <w:rPr>
      <w:sz w:val="16"/>
      <w:szCs w:val="16"/>
    </w:rPr>
  </w:style>
  <w:style w:type="paragraph" w:styleId="Textocomentario">
    <w:name w:val="annotation text"/>
    <w:basedOn w:val="Normal"/>
    <w:link w:val="TextocomentarioCar"/>
    <w:uiPriority w:val="99"/>
    <w:semiHidden/>
    <w:unhideWhenUsed/>
    <w:rsid w:val="00071F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1F26"/>
    <w:rPr>
      <w:sz w:val="20"/>
      <w:szCs w:val="20"/>
    </w:rPr>
  </w:style>
  <w:style w:type="paragraph" w:styleId="Asuntodelcomentario">
    <w:name w:val="annotation subject"/>
    <w:basedOn w:val="Textocomentario"/>
    <w:next w:val="Textocomentario"/>
    <w:link w:val="AsuntodelcomentarioCar"/>
    <w:uiPriority w:val="99"/>
    <w:semiHidden/>
    <w:unhideWhenUsed/>
    <w:rsid w:val="00071F26"/>
    <w:rPr>
      <w:b/>
      <w:bCs/>
    </w:rPr>
  </w:style>
  <w:style w:type="character" w:customStyle="1" w:styleId="AsuntodelcomentarioCar">
    <w:name w:val="Asunto del comentario Car"/>
    <w:basedOn w:val="TextocomentarioCar"/>
    <w:link w:val="Asuntodelcomentario"/>
    <w:uiPriority w:val="99"/>
    <w:semiHidden/>
    <w:rsid w:val="00071F26"/>
    <w:rPr>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1"/>
    <w:pPr>
      <w:spacing w:after="0" w:line="240" w:lineRule="auto"/>
    </w:pPr>
    <w:tblPr>
      <w:tblStyleRowBandSize w:val="1"/>
      <w:tblStyleColBandSize w:val="1"/>
      <w:tblCellMar>
        <w:left w:w="108" w:type="dxa"/>
        <w:right w:w="108" w:type="dxa"/>
      </w:tblCellMar>
    </w:tblPr>
  </w:style>
  <w:style w:type="table" w:customStyle="1" w:styleId="Tablaconcuadrcula1">
    <w:name w:val="Tabla con cuadrícula1"/>
    <w:basedOn w:val="Tablanormal"/>
    <w:next w:val="Tablaconcuadrcula"/>
    <w:uiPriority w:val="39"/>
    <w:rsid w:val="002D03E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2D03E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estrategiamineraantofagasta.cl/documento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XnpCHG/eHkTICe5muLWGEydLUg==">CgMxLjAyCGguZ2pkZ3hzOAByITE1elZYUFVQc2I2V1NGOFFFc0VRLWR4VVZnbldfYzNLOQ==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3549</Words>
  <Characters>19522</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Alvarez Mercedes MA. (SA Gore)</dc:creator>
  <cp:lastModifiedBy>User</cp:lastModifiedBy>
  <cp:revision>2</cp:revision>
  <dcterms:created xsi:type="dcterms:W3CDTF">2025-06-05T19:08:00Z</dcterms:created>
  <dcterms:modified xsi:type="dcterms:W3CDTF">2025-06-05T19:08:00Z</dcterms:modified>
</cp:coreProperties>
</file>